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p>
    <w:p>
      <w:pPr>
        <w:spacing w:after="400"/>
      </w:pPr>
      <w:r>
        <w:rPr>
          <w:b w:val="0"/>
          <w:i w:val="0"/>
          <w:iCs/>
          <w:sz w:val="32"/>
          <w:szCs w:val="22"/>
        </w:rPr>
        <w:t>Honourable Minister of Defence, Service Chiefs, distinguished officials of the Ministry, ladies and gentlemen,</w:t>
      </w:r>
    </w:p>
    <w:p>
      <w:r>
        <w:rPr>
          <w:sz w:val="32"/>
        </w:rPr>
        <w:br w:type="page"/>
      </w:r>
    </w:p>
    <w:p>
      <w:pPr>
        <w:pStyle w:val="Heading1"/>
        <w:spacing w:after="150" w:before="300"/>
      </w:pPr>
      <w:r>
        <w:rPr>
          <w:sz w:val="32"/>
        </w:rPr>
        <w:t xml:space="preserve">OPENING: ONE ECOSYSTEM, NOT SEPARATE PROBLEMS</w:t>
      </w:r>
    </w:p>
    <w:p>
      <w:pPr>
        <w:spacing w:after="200" w:line="360"/>
        <w:jc w:val="both"/>
      </w:pPr>
      <w:r>
        <w:rPr>
          <w:sz w:val="32"/>
        </w:rPr>
        <w:t>Nigeria's security architecture today sits at a genuine inflection point. Insurgency in the North-East has evolved and, in places, converged with banditry corridors further west and south. Farmer-herder conflict across the Middle Belt has intensified rather than eased over the past three years, and here in North-Central Nigeria we feel that intensification most directly.</w:t>
      </w:r>
    </w:p>
    <w:p>
      <w:pPr>
        <w:spacing w:after="200" w:line="360"/>
        <w:jc w:val="both"/>
      </w:pPr>
      <w:r>
        <w:rPr>
          <w:sz w:val="32"/>
        </w:rPr>
        <w:t>In December 2023, over one hundred and forty people were killed across more than seventeen rural communities in Plateau State in a single coordinated wave of Christmas Eve attacks. Barely a month later, in January 2024, at least thirty more people were killed in further attacks around Mangu town. This was not a one-off spike. Between May 2023 and May 2025, one thousand and forty-three people were killed in Benue State alone. And the single deadliest recent incident came on the night of the thirteenth and fourteenth of June 2025, when the Yelwata massacre in Guma Local Government Area of Benue State killed at least one hundred and fifty to one hundred and sixty people in one night — an incident so severe that Nigeria formally charged nine men with terrorism over it in February of this year, and one that moved even Pope Leo to publicly pray for the victims at his Sunday Angelus.</w:t>
      </w:r>
    </w:p>
    <w:p>
      <w:pPr>
        <w:spacing w:after="200" w:line="360"/>
        <w:jc w:val="both"/>
      </w:pPr>
      <w:r>
        <w:rPr>
          <w:sz w:val="32"/>
        </w:rPr>
        <w:t>The human cost compounds directly into displacement. As of the thirty-first of December 2024, five hundred thousand, one hundred and eighty-two people were already living in displacement camps in Benue State alone. By October 2025, North-Central and North-West Nigeria combined were hosting one million, three hundred and seventy-eight thousand, one hundred and twenty-four internally displaced persons. These are not abstract statistics. They are mothers, farmers, and traditional rulers — the very people I want this address to speak for.</w:t>
      </w:r>
    </w:p>
    <w:p>
      <w:pPr>
        <w:spacing w:after="200" w:line="360"/>
        <w:jc w:val="both"/>
      </w:pPr>
      <w:r>
        <w:rPr>
          <w:sz w:val="32"/>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rPr>
          <w:sz w:val="32"/>
        </w:rPr>
        <w:t xml:space="preserve">SECTION ONE: THE NORTH-CENTRAL SECURITY QUESTION</w:t>
      </w:r>
    </w:p>
    <w:p>
      <w:pPr>
        <w:spacing w:after="200" w:line="360"/>
        <w:jc w:val="both"/>
      </w:pPr>
      <w:r>
        <w:rPr>
          <w:sz w:val="32"/>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32"/>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rPr>
          <w:sz w:val="32"/>
        </w:rPr>
        <w:t xml:space="preserve">SECTION TWO: THE CENTRAL PROBLEM — WE ARE TOO REACTIVE</w:t>
      </w:r>
    </w:p>
    <w:p>
      <w:pPr>
        <w:spacing w:after="200" w:line="360"/>
        <w:jc w:val="both"/>
      </w:pPr>
      <w:r>
        <w:rPr>
          <w:sz w:val="32"/>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32"/>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rPr>
          <w:sz w:val="32"/>
        </w:rPr>
        <w:t xml:space="preserve">SECTION THREE: SECURITY AS COLLECTIVE RESPONSIBILITY</w:t>
      </w:r>
    </w:p>
    <w:p>
      <w:pPr>
        <w:spacing w:after="200" w:line="360"/>
        <w:jc w:val="both"/>
      </w:pPr>
      <w:r>
        <w:rPr>
          <w:sz w:val="32"/>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rPr>
          <w:sz w:val="32"/>
        </w:rPr>
        <w:t xml:space="preserve">SECTION FOUR: ONE SECURITY PICTURE, MULTIPLE CAPABILITIES</w:t>
      </w:r>
    </w:p>
    <w:p>
      <w:pPr>
        <w:spacing w:after="200" w:line="360"/>
        <w:jc w:val="both"/>
      </w:pPr>
      <w:r>
        <w:rPr>
          <w:sz w:val="32"/>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rPr>
          <w:sz w:val="32"/>
        </w:rPr>
        <w:t xml:space="preserve">SECTION FIVE: A REGIONAL SECURITY INTELLIGENCE AND FUSION CENTRE</w:t>
      </w:r>
    </w:p>
    <w:p>
      <w:pPr>
        <w:spacing w:after="200" w:line="360"/>
        <w:jc w:val="both"/>
      </w:pPr>
      <w:r>
        <w:rPr>
          <w:sz w:val="32"/>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32"/>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rPr>
          <w:sz w:val="32"/>
        </w:rPr>
        <w:t xml:space="preserve">SECTION SIX: FROM INTELLIGENCE COLLECTION TO INTELLIGENCE ACTION</w:t>
      </w:r>
    </w:p>
    <w:p>
      <w:pPr>
        <w:spacing w:after="200" w:line="360"/>
        <w:jc w:val="both"/>
      </w:pPr>
      <w:r>
        <w:rPr>
          <w:sz w:val="32"/>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spacing w:after="150" w:before="300"/>
      </w:pPr>
      <w:r>
        <w:rPr>
          <w:sz w:val="32"/>
        </w:rPr>
        <w:t xml:space="preserve">SECTION SEVEN: THE COMMUNITY MUST BECOME THE FIRST SENSOR</w:t>
      </w:r>
    </w:p>
    <w:p>
      <w:pPr>
        <w:spacing w:after="200" w:line="360"/>
        <w:jc w:val="both"/>
      </w:pPr>
      <w:r>
        <w:rPr>
          <w:sz w:val="32"/>
          <w:szCs w:val="24"/>
        </w:rPr>
        <w:t xml:space="preserve">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pPr>
        <w:spacing w:after="200" w:line="360"/>
        <w:jc w:val="both"/>
      </w:pPr>
      <w:r>
        <w:rPr>
          <w:sz w:val="32"/>
          <w:szCs w:val="24"/>
        </w:rPr>
        <w:t xml:space="preserve">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pPr>
        <w:spacing w:after="100"/>
      </w:pPr>
    </w:p>
    <w:p>
      <w:pPr>
        <w:pStyle w:val="Heading1"/>
        <w:spacing w:after="150" w:before="300"/>
      </w:pPr>
      <w:r>
        <w:rPr>
          <w:sz w:val="32"/>
        </w:rPr>
        <w:t xml:space="preserve">SECTION EIGHT: TRADITIONAL RULERS IN THE SECURITY ARCHITECTURE</w:t>
      </w:r>
    </w:p>
    <w:p>
      <w:pPr>
        <w:spacing w:after="200" w:line="360"/>
        <w:jc w:val="both"/>
      </w:pPr>
      <w:r>
        <w:rPr>
          <w:sz w:val="32"/>
          <w:szCs w:val="24"/>
        </w:rPr>
        <w:t xml:space="preserve">Traditional rulers know who lives in, and who enters, their domain. They are often aware of families in conflict and land or resource disputes long before those disputes turn violent. They are frequently the first to notice radicalisation among youth, and they know the criminal routes and rising tensions within their own communities better than any outsider ever will. Yet today they are consulted mostly after violence occurs, when their value would be greatest before it. The structured interface I propose links the Traditional Council directly with Police, DSS, a Military Liaison officer, Local Government, and Community Representatives — a standing table, not an emergency meeting.</w:t>
      </w:r>
    </w:p>
    <w:p>
      <w:pPr>
        <w:spacing w:after="100"/>
      </w:pPr>
    </w:p>
    <w:p>
      <w:pPr>
        <w:pStyle w:val="Heading1"/>
        <w:spacing w:after="150" w:before="300"/>
      </w:pPr>
      <w:r>
        <w:rPr>
          <w:sz w:val="32"/>
        </w:rPr>
        <w:t xml:space="preserve">SECTION NINE: SECURITY CORRIDORS, NOT ADMINISTRATIVE BOUNDARIES</w:t>
      </w:r>
    </w:p>
    <w:p>
      <w:pPr>
        <w:spacing w:after="200" w:line="360"/>
        <w:jc w:val="both"/>
      </w:pPr>
      <w:r>
        <w:rPr>
          <w:sz w:val="32"/>
          <w:szCs w:val="24"/>
        </w:rPr>
        <w:t xml:space="preserve">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pPr>
        <w:spacing w:after="100"/>
      </w:pPr>
    </w:p>
    <w:p>
      <w:pPr>
        <w:pStyle w:val="Heading1"/>
        <w:spacing w:after="150" w:before="300"/>
      </w:pPr>
      <w:r>
        <w:rPr>
          <w:sz w:val="32"/>
        </w:rPr>
        <w:t xml:space="preserve">SECTION TEN: RAPID RESPONSE — THE THIRTY TO SIXTY MINUTE WINDOW</w:t>
      </w:r>
    </w:p>
    <w:p>
      <w:pPr>
        <w:spacing w:after="200" w:line="360"/>
        <w:jc w:val="both"/>
      </w:pPr>
      <w:r>
        <w:rPr>
          <w:sz w:val="32"/>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rPr>
          <w:sz w:val="32"/>
        </w:rPr>
        <w:t xml:space="preserve">SECTION ELEVEN: TECHNOLOGY SHOULD MULTIPLY HUMAN CAPABILITY</w:t>
      </w:r>
    </w:p>
    <w:p>
      <w:pPr>
        <w:spacing w:after="200" w:line="360"/>
        <w:jc w:val="both"/>
      </w:pPr>
      <w:r>
        <w:rPr>
          <w:sz w:val="32"/>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rPr>
          <w:sz w:val="32"/>
        </w:rPr>
        <w:t xml:space="preserve">SECTION TWELVE: THE FOREST PROBLEM</w:t>
      </w:r>
    </w:p>
    <w:p>
      <w:pPr>
        <w:spacing w:after="200" w:line="360"/>
        <w:jc w:val="both"/>
      </w:pPr>
      <w:r>
        <w:rPr>
          <w:sz w:val="32"/>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rPr>
          <w:sz w:val="32"/>
        </w:rPr>
        <w:t xml:space="preserve">SECTION THIRTEEN: SEPARATE THE CRIMINAL FROM THE COMMUNITY</w:t>
      </w:r>
    </w:p>
    <w:p>
      <w:pPr>
        <w:spacing w:after="200" w:line="360"/>
        <w:jc w:val="both"/>
      </w:pPr>
      <w:r>
        <w:rPr>
          <w:sz w:val="32"/>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rPr>
          <w:sz w:val="32"/>
        </w:rPr>
        <w:t xml:space="preserve">SECTION FOURTEEN: FARMER-HERDER CONFLICT AS A GOVERNANCE ISSUE</w:t>
      </w:r>
    </w:p>
    <w:p>
      <w:pPr>
        <w:spacing w:after="200" w:line="360"/>
        <w:jc w:val="both"/>
      </w:pPr>
      <w:r>
        <w:rPr>
          <w:sz w:val="32"/>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rPr>
          <w:sz w:val="32"/>
        </w:rPr>
        <w:t xml:space="preserve">SECTION FIFTEEN: YOUNG PEOPLE — THE MOST IMPORTANT LONG-TERM INVESTMENT</w:t>
      </w:r>
    </w:p>
    <w:p>
      <w:pPr>
        <w:spacing w:after="200" w:line="360"/>
        <w:jc w:val="both"/>
      </w:pPr>
      <w:r>
        <w:rPr>
          <w:sz w:val="32"/>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rPr>
          <w:sz w:val="32"/>
        </w:rPr>
        <w:t xml:space="preserve">SECTIONS SIXTEEN AND SEVENTEEN: WOMEN AS SECURITY PARTNERS, AND THE ROLE OF LOCAL GOVERNMENT</w:t>
      </w:r>
    </w:p>
    <w:p>
      <w:pPr>
        <w:spacing w:after="200" w:line="360"/>
        <w:jc w:val="both"/>
      </w:pPr>
      <w:r>
        <w:rPr>
          <w:sz w:val="32"/>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rPr>
          <w:sz w:val="32"/>
        </w:rPr>
        <w:t xml:space="preserve">SECTION EIGHTEEN: STATE POLICE — AN OPPORTUNITY THAT REQUIRES SAFEGUARDS</w:t>
      </w:r>
    </w:p>
    <w:p>
      <w:pPr>
        <w:spacing w:after="200" w:line="360"/>
        <w:jc w:val="both"/>
      </w:pPr>
      <w:r>
        <w:rPr>
          <w:sz w:val="32"/>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rPr>
          <w:sz w:val="32"/>
        </w:rPr>
        <w:t xml:space="preserve">SECTIONS NINETEEN AND TWENTY: PREDICTABLE FUNDING AND PERSONNEL WELFARE</w:t>
      </w:r>
    </w:p>
    <w:p>
      <w:pPr>
        <w:spacing w:after="200" w:line="360"/>
        <w:jc w:val="both"/>
      </w:pPr>
      <w:r>
        <w:rPr>
          <w:sz w:val="32"/>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rPr>
          <w:sz w:val="32"/>
        </w:rPr>
        <w:t xml:space="preserve">SECTION TWENTY-ONE: THE THREE-LAYER SECURITY MODEL</w:t>
      </w:r>
    </w:p>
    <w:p>
      <w:pPr>
        <w:spacing w:after="200" w:line="360"/>
        <w:jc w:val="both"/>
      </w:pPr>
      <w:r>
        <w:rPr>
          <w:sz w:val="32"/>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rPr>
          <w:sz w:val="32"/>
        </w:rPr>
        <w:t xml:space="preserve">SECTION TWENTY-TWO: A TWENTY-FOUR-HOUR SECURITY CYCLE</w:t>
      </w:r>
    </w:p>
    <w:p>
      <w:pPr>
        <w:spacing w:after="200" w:line="360"/>
        <w:jc w:val="both"/>
      </w:pPr>
      <w:r>
        <w:rPr>
          <w:sz w:val="32"/>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rPr>
          <w:sz w:val="32"/>
        </w:rPr>
        <w:t xml:space="preserve">SECTION TWENTY-THREE: WHAT SHOULD HAPPEN IN THE NEXT NINETY DAYS</w:t>
      </w:r>
    </w:p>
    <w:p>
      <w:pPr>
        <w:spacing w:after="200" w:line="360"/>
        <w:jc w:val="both"/>
      </w:pPr>
      <w:r>
        <w:rPr>
          <w:sz w:val="32"/>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rPr>
          <w:sz w:val="32"/>
        </w:rPr>
        <w:t xml:space="preserve">SECTION TWENTY-FOUR: THE NORTH-CENTRAL SECURITY COMPACT — SEVEN COMMITMENTS</w:t>
      </w:r>
    </w:p>
    <w:p>
      <w:pPr>
        <w:spacing w:after="200" w:line="360"/>
        <w:jc w:val="both"/>
      </w:pPr>
      <w:r>
        <w:rPr>
          <w:sz w:val="32"/>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rPr>
          <w:sz w:val="32"/>
        </w:rPr>
        <w:t xml:space="preserve">SECTION TWENTY-FIVE: WHAT SUCCESS SHOULD LOOK LIKE IN THREE YEARS</w:t>
      </w:r>
    </w:p>
    <w:p>
      <w:pPr>
        <w:spacing w:after="200" w:line="360"/>
        <w:jc w:val="both"/>
      </w:pPr>
      <w:r>
        <w:rPr>
          <w:sz w:val="32"/>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rPr>
          <w:sz w:val="32"/>
        </w:rPr>
        <w:t xml:space="preserve">SECTION TWENTY-SIX: THE BIGGEST CHANGE WE NEED IS MENTAL</w:t>
      </w:r>
    </w:p>
    <w:p>
      <w:pPr>
        <w:spacing w:after="200" w:line="360"/>
        <w:jc w:val="both"/>
      </w:pPr>
      <w:r>
        <w:rPr>
          <w:sz w:val="32"/>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rPr>
          <w:sz w:val="32"/>
        </w:rPr>
        <w:t xml:space="preserve">CLOSING</w:t>
      </w:r>
    </w:p>
    <w:p>
      <w:pPr>
        <w:spacing w:after="200" w:line="360"/>
        <w:jc w:val="both"/>
      </w:pPr>
      <w:r>
        <w:rPr>
          <w:sz w:val="32"/>
          <w:szCs w:val="24"/>
        </w:rPr>
        <w:t xml:space="preserve">He simply wants to arrive alive. That is the standard by which we must judge ourselves. And it is not beyond the capacity of Nigeria.</w:t>
      </w:r>
    </w:p>
    <w:p>
      <w:pPr>
        <w:spacing w:after="300" w:before="200"/>
        <w:jc w:val="center"/>
      </w:pPr>
      <w:r>
        <w:rPr>
          <w:b/>
          <w:bCs/>
          <w:sz w:val="32"/>
          <w:szCs w:val="24"/>
        </w:rPr>
        <w:t xml:space="preserve">Thank you.</w:t>
      </w:r>
    </w:p>
    <w:p>
      <w:pPr>
        <w:jc w:val="center"/>
      </w:pPr>
      <w:r>
        <w:rPr>
          <w:i/>
          <w:iCs/>
          <w:sz w:val="32"/>
          <w:szCs w:val="22"/>
        </w:rPr>
        <w:t xml:space="preserve">— Air Vice Marshal Monday Riku Morgan (Rtd)</w:t>
      </w:r>
    </w:p>
    <w:p>
      <w:pPr>
        <w:spacing w:after="200" w:line="360"/>
        <w:jc w:val="both"/>
      </w:pPr>
      <w:r>
        <w:rPr>
          <w:sz w:val="32"/>
          <w:szCs w:val="24"/>
        </w:rPr>
        <w:t xml:space="preserve">REFERENCES</w:t>
      </w:r>
    </w:p>
    <w:p>
      <w:pPr>
        <w:spacing w:after="200" w:line="360"/>
        <w:jc w:val="both"/>
      </w:pPr>
      <w:r>
        <w:rPr>
          <w:sz w:val="32"/>
          <w:szCs w:val="24"/>
        </w:rPr>
        <w:t xml:space="preserve">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the National Counterterrorism Center (NCTC) of the United States; the Multi-Agency Centre (MAC) of India, established following the 2008 Mumbai attacks;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