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BETONIQ WEST LTD</w:t>
      </w:r>
    </w:p>
    <w:p>
      <w:pPr>
        <w:jc w:val="center"/>
      </w:pPr>
      <w:r>
        <w:rPr>
          <w:i/>
          <w:sz w:val="26"/>
        </w:rPr>
        <w:t>Corporate Credibility Profile — Deal Origination &amp; Business Development</w:t>
      </w:r>
    </w:p>
    <w:p/>
    <w:p>
      <w:r>
        <w:rPr>
          <w:b/>
          <w:sz w:val="28"/>
        </w:rPr>
        <w:t>Corporate Identity</w:t>
      </w:r>
    </w:p>
    <w:p>
      <w:pPr>
        <w:spacing w:after="200"/>
      </w:pPr>
      <w:r>
        <w:t>BETONIQ WEST LTD, RC 1496603, is a private company limited by shares, incorporated May 20, 2018, registered in Abuja, Federal Capital Territory, Nigeria.</w:t>
      </w:r>
    </w:p>
    <w:p>
      <w:r>
        <w:rPr>
          <w:b/>
          <w:sz w:val="28"/>
        </w:rPr>
        <w:t>Governance &amp; Leadership</w:t>
      </w:r>
    </w:p>
    <w:p>
      <w:pPr>
        <w:spacing w:after="200"/>
      </w:pPr>
      <w:r>
        <w:t>Air Vice Marshal Monday Riku Morgan (Rtd) — Executive Vice Chairman &amp; Director. A retired senior officer of the Nigerian Air Force, providing institutional credibility, governance oversight, and defense-sector relationships.</w:t>
      </w:r>
    </w:p>
    <w:p>
      <w:pPr>
        <w:spacing w:after="200"/>
      </w:pPr>
      <w:r>
        <w:t>His Royal Highness, the Emir of Borgu Kingdom — Director &amp; Majority Shareholder. A recognized traditional ruler whose position lends deep regional standing, regulatory goodwill, and access across Nigerian institutional and private-sector networks.</w:t>
      </w:r>
    </w:p>
    <w:p>
      <w:pPr>
        <w:spacing w:after="200"/>
      </w:pPr>
      <w:r>
        <w:t>Tom Ugbodaga — Shareholder &amp; CEO. Holds an MSc Computer Systems Security (University of Gloucestershire, England, 2011) and manages day-to-day operations, technical delivery, and deal execution.</w:t>
      </w:r>
    </w:p>
    <w:p>
      <w:r>
        <w:rPr>
          <w:b/>
          <w:sz w:val="28"/>
        </w:rPr>
        <w:t>Proof of Real Operating Capacity</w:t>
      </w:r>
    </w:p>
    <w:p>
      <w:pPr>
        <w:spacing w:after="200"/>
      </w:pPr>
      <w:r>
        <w:t>BETONIQ WEST LTD is not a shell company assembled to chase deals. It operates a live fintech product line under active development and partnership:</w:t>
      </w:r>
    </w:p>
    <w:p>
      <w:pPr>
        <w:spacing w:after="200"/>
      </w:pPr>
      <w:r>
        <w:t>1. A signed merchant agreement with Paystack, Nigeria's licensed payment infrastructure provider (July 2026), for its ZerôPâŷ Money offline payments protocol.</w:t>
      </w:r>
    </w:p>
    <w:p>
      <w:pPr>
        <w:spacing w:after="200"/>
      </w:pPr>
      <w:r>
        <w:t>2. Formal cryptographic protocol verification (TLA+ methodology) completed on its core payment security architecture.</w:t>
      </w:r>
    </w:p>
    <w:p>
      <w:pPr>
        <w:spacing w:after="200"/>
      </w:pPr>
      <w:r>
        <w:t>3. A working, testable interactive demonstration of the ZerôPâŷ Money product and technology stack.</w:t>
      </w:r>
    </w:p>
    <w:p>
      <w:pPr>
        <w:spacing w:after="200"/>
      </w:pPr>
      <w:r>
        <w:t>4. A standing Non-Disclosure &amp; Non-Circumvention Agreement used with every partnership discussion, protecting all parties and confirming professional dealmaking conduct.</w:t>
      </w:r>
    </w:p>
    <w:p>
      <w:r>
        <w:rPr>
          <w:b/>
          <w:sz w:val="28"/>
        </w:rPr>
        <w:t>Why This Matters for a Deal Introduction</w:t>
      </w:r>
    </w:p>
    <w:p>
      <w:pPr>
        <w:spacing w:after="200"/>
      </w:pPr>
      <w:r>
        <w:t>When BETONIQ WEST LTD brings a seller or a buyer to the table, that introduction carries the weight of a company with real registered standing, senior institutional governance, and a demonstrable operating track record, not an anonymous unverifiable intermediary. This is the basis on which we ask counterparties to engage seriously, sign an introduction/fee agreement, and treat our referrals as credible.</w:t>
      </w:r>
    </w:p>
    <w:p/>
    <w:p>
      <w:r>
        <w:rPr>
          <w:sz w:val="22"/>
        </w:rPr>
        <w:t>Contact: zeropointfeild_nonwnt@zeropay.site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