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8"/>
        </w:rPr>
        <w:t>COLLABORATIVE APPROACHES TO STRENGTHENING SECURITY IN NORTH CENTRAL NIGERIA</w:t>
      </w:r>
    </w:p>
    <w:p>
      <w:pPr>
        <w:jc w:val="center"/>
      </w:pPr>
      <w:r>
        <w:rPr>
          <w:i/>
          <w:sz w:val="26"/>
        </w:rPr>
        <w:t>A Policy Memorandum on Regional, Local Government, and Community Participation</w:t>
      </w:r>
    </w:p>
    <w:p>
      <w:pPr>
        <w:jc w:val="center"/>
      </w:pPr>
      <w:r>
        <w:rPr>
          <w:color w:val="606060"/>
          <w:sz w:val="22"/>
        </w:rPr>
        <w:t>Prepared for Strategic Executive Review — August 2026</w:t>
      </w:r>
    </w:p>
    <w:p>
      <w:r>
        <w:t>──────────────────────────────────────────────────────────────────────────────────────────</w:t>
      </w:r>
    </w:p>
    <w:p>
      <w:pPr>
        <w:spacing w:before="400" w:after="160"/>
      </w:pPr>
      <w:r>
        <w:rPr>
          <w:rFonts w:ascii="Calibri" w:hAnsi="Calibri"/>
          <w:b/>
          <w:color w:val="1F2A44"/>
          <w:sz w:val="32"/>
        </w:rPr>
        <w:t>1. Executive Summary</w:t>
      </w:r>
    </w:p>
    <w:p>
      <w:pPr>
        <w:spacing w:after="200" w:line="324" w:lineRule="auto"/>
        <w:jc w:val="both"/>
      </w:pPr>
      <w:r>
        <w:rPr>
          <w:rFonts w:ascii="Calibri" w:hAnsi="Calibri"/>
          <w:sz w:val="24"/>
        </w:rPr>
        <w:t>Nigeria's North Central geopolitical zone has historically served as the country's agricultural engine and a critical socioeconomic bridge. However, a centralized security model managed entirely from federal headquarters in Abuja has proven structurally inadequate to address evolving sub-regional threats. This paper introduces a highly coordinated methodology that systematically devolves tactical security control, intelligence management, and active modern surveillance across three operational tiers: the Regional coalition, Local Government Areas (LGAs), and grass-root community partnerships.</w:t>
      </w:r>
    </w:p>
    <w:p>
      <w:pPr>
        <w:spacing w:after="200" w:line="324" w:lineRule="auto"/>
        <w:jc w:val="both"/>
      </w:pPr>
      <w:r>
        <w:rPr>
          <w:rFonts w:ascii="Calibri" w:hAnsi="Calibri"/>
          <w:sz w:val="24"/>
        </w:rPr>
        <w:t>Grounded in empirical data and structural analyses up to 2026, this policy expose leverages recent legislative milestones — specifically the 2026 National Assembly constitutional amendment bills advocating state and decentralized law enforcement — to construct a resilient framework. By shifting local security from a reactive federal model to a proactive, community-owned architecture, the methodology aims to eliminate long-standing implementation gaps, neutralize asymmetrical security challenges, and restore socio-economic stability to vulnerable communities.</w:t>
      </w:r>
    </w:p>
    <w:p>
      <w:pPr>
        <w:spacing w:before="400" w:after="160"/>
      </w:pPr>
      <w:r>
        <w:rPr>
          <w:rFonts w:ascii="Calibri" w:hAnsi="Calibri"/>
          <w:b/>
          <w:color w:val="1F2A44"/>
          <w:sz w:val="32"/>
        </w:rPr>
        <w:t>2. The Context of Insecurity in North Central Nigeria</w:t>
      </w:r>
    </w:p>
    <w:p>
      <w:pPr>
        <w:spacing w:after="200" w:line="324" w:lineRule="auto"/>
        <w:jc w:val="both"/>
      </w:pPr>
      <w:r>
        <w:rPr>
          <w:rFonts w:ascii="Calibri" w:hAnsi="Calibri"/>
          <w:sz w:val="24"/>
        </w:rPr>
        <w:t>The North Central zone — comprising Benue, Plateau, Kogi, Kwara, Nasarawa, Niger, and the Federal Capital Territory (FCT) — faces an intricate web of localized crises. Evolving dynamic data from 2025 and mid-2026 indicates that the threat landscape has shifted from traditional land disputes to highly monetized, fragmented, and decentralized criminal networks. Armed banditry, aggressive kidnapping-for-ransom rings, and complex farmer-herder confrontations no longer operate as isolated skirmishes but function as sophisticated trans-border illicit enterprises.</w:t>
      </w:r>
    </w:p>
    <w:p>
      <w:pPr>
        <w:spacing w:after="200" w:line="324" w:lineRule="auto"/>
        <w:jc w:val="both"/>
      </w:pPr>
      <w:r>
        <w:rPr>
          <w:rFonts w:ascii="Calibri" w:hAnsi="Calibri"/>
          <w:sz w:val="24"/>
        </w:rPr>
        <w:t>The structural pathology driving this crisis is not a lack of military intent, but a deep implementation gap within the existing central law enforcement infrastructure. Rural communities across Niger State and the expanding borders of the FCT are frequently left vulnerable because centralized troop deployments must navigate lengthy bureaucratic chains of command before engaging localized threats. Consequently, vast rural and forested terrains are transformed into ungoverned spaces where asymmetrical groups exploit the absence of immediate state authority to launch devastating raids on agricultural clusters and educational institutions.</w:t>
      </w:r>
    </w:p>
    <w:p>
      <w:pPr>
        <w:spacing w:before="400" w:after="160"/>
      </w:pPr>
      <w:r>
        <w:rPr>
          <w:rFonts w:ascii="Calibri" w:hAnsi="Calibri"/>
          <w:b/>
          <w:color w:val="1F2A44"/>
          <w:sz w:val="32"/>
        </w:rPr>
        <w:t>3. Empirical Case Studies and Critical Security Incidents</w:t>
      </w:r>
    </w:p>
    <w:p>
      <w:pPr>
        <w:spacing w:after="200" w:line="324" w:lineRule="auto"/>
        <w:jc w:val="both"/>
      </w:pPr>
      <w:r>
        <w:rPr>
          <w:rFonts w:ascii="Calibri" w:hAnsi="Calibri"/>
          <w:sz w:val="24"/>
        </w:rPr>
        <w:t>To fully understand the gravity of the central command failure, this framework evaluates specific landmark security breaches recorded between 2025 and 2026. In early 2025, a devastating mass abduction targeted a school in rural Niger State, where hundreds of students and faculty members were forcibly marched into dense forests. Although a combined rescue operation involving the Department of State Services (DSS) and the Nigerian Army eventually succeeded, the weeks of delay exposed critical vulnerabilities in early warning response mechanisms and rural surveillance grids.</w:t>
      </w:r>
    </w:p>
    <w:p>
      <w:pPr>
        <w:spacing w:after="200" w:line="324" w:lineRule="auto"/>
        <w:jc w:val="both"/>
      </w:pPr>
      <w:r>
        <w:rPr>
          <w:rFonts w:ascii="Calibri" w:hAnsi="Calibri"/>
          <w:sz w:val="24"/>
        </w:rPr>
        <w:t>Simultaneously, data tracking from 2021 to 2025 highlights a staggering escalation in kidnapping events along the fringes of the FCT and neighboring Kogi and Nasarawa states. According to comprehensive conflict datasets, abductions peaked significantly, revealing that criminal syndicates actively exploit the territorial boundaries between states. Furthermore, recurrent communal violence in rural Benue and Plateau states throughout late 2025 and early 2026 demonstrated that without locally embedded early-warning mechanisms, military interventions remain purely reactive — often arriving after communities have been displaced and local economies disrupted.</w:t>
      </w:r>
    </w:p>
    <w:p>
      <w:pPr>
        <w:spacing w:before="400" w:after="160"/>
      </w:pPr>
      <w:r>
        <w:rPr>
          <w:rFonts w:ascii="Calibri" w:hAnsi="Calibri"/>
          <w:b/>
          <w:color w:val="1F2A44"/>
          <w:sz w:val="32"/>
        </w:rPr>
        <w:t>4. The Structural Failure of Centralized Security Architecture</w:t>
      </w:r>
    </w:p>
    <w:p>
      <w:pPr>
        <w:spacing w:after="200" w:line="324" w:lineRule="auto"/>
        <w:jc w:val="both"/>
      </w:pPr>
      <w:r>
        <w:rPr>
          <w:rFonts w:ascii="Calibri" w:hAnsi="Calibri"/>
          <w:sz w:val="24"/>
        </w:rPr>
        <w:t>The fundamental thesis of decentralized reform rests on a stark reality: administering law enforcement for a geographically diverse nation of over 200 million people exclusively from a central command in Abuja is structurally unsustainable. Under the current interpretation of the 1999 Constitution, executive state governors are designated as the chief security officers of their respective domains, yet they lack the direct constitutional authority to command federal law enforcement assets during active emergencies. This creates an administrative paralysis where regional leaders are held politically accountable for security outcomes without possessing tactical control over the tools required to enforce peace.</w:t>
      </w:r>
    </w:p>
    <w:p>
      <w:pPr>
        <w:spacing w:after="200" w:line="324" w:lineRule="auto"/>
        <w:jc w:val="both"/>
      </w:pPr>
      <w:r>
        <w:rPr>
          <w:rFonts w:ascii="Calibri" w:hAnsi="Calibri"/>
          <w:sz w:val="24"/>
        </w:rPr>
        <w:t>This centralized overreach creates five structural pathologies: fragmented inter-agency coordination, a severe deficit in localized intelligence integration, critical technical equipment shortages in rural stations, weak prosecutorial efficacy for arrested bandits, and a siloed institutional culture among federal agencies. By locking local actors out of formal command structures, the state effectively detaches policing from the very citizens it is sworn to protect, leaving a vacuum that criminal networks aggressively exploit.</w:t>
      </w:r>
    </w:p>
    <w:p>
      <w:pPr>
        <w:spacing w:before="400" w:after="160"/>
      </w:pPr>
      <w:r>
        <w:rPr>
          <w:rFonts w:ascii="Calibri" w:hAnsi="Calibri"/>
          <w:b/>
          <w:color w:val="1F2A44"/>
          <w:sz w:val="32"/>
        </w:rPr>
        <w:t>5. Conceptualizing Security Devolution and Decentralization</w:t>
      </w:r>
    </w:p>
    <w:p>
      <w:pPr>
        <w:spacing w:after="200" w:line="324" w:lineRule="auto"/>
        <w:jc w:val="both"/>
      </w:pPr>
      <w:r>
        <w:rPr>
          <w:rFonts w:ascii="Calibri" w:hAnsi="Calibri"/>
          <w:sz w:val="24"/>
        </w:rPr>
        <w:t>The structural alternative to centralized failure is the systematic devolution of security control — a methodology that redefines policing not as an elite federal monopoly, but as a collaborative, multi-tiered civic responsibility. Grounded in criminological frameworks like Routine Activity Theory, this decentralization model argues that crime occurs when motivated offenders encounter suitable targets in the absence of a capable guardian. Devolution addresses this by placing the 'capable guardian' directly within the community.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2A44"/>
          </w:tcPr>
          <w:p>
            <w:r/>
            <w:r>
              <w:rPr>
                <w:b/>
                <w:color w:val="FFFFFF"/>
                <w:sz w:val="22"/>
              </w:rPr>
              <w:t>Governance Tier</w:t>
            </w:r>
          </w:p>
        </w:tc>
        <w:tc>
          <w:tcPr>
            <w:tcW w:type="dxa" w:w="2880"/>
            <w:shd w:val="clear" w:color="auto" w:fill="1F2A44"/>
          </w:tcPr>
          <w:p>
            <w:r/>
            <w:r>
              <w:rPr>
                <w:b/>
                <w:color w:val="FFFFFF"/>
                <w:sz w:val="22"/>
              </w:rPr>
              <w:t>Core Strategic Mandate</w:t>
            </w:r>
          </w:p>
        </w:tc>
        <w:tc>
          <w:tcPr>
            <w:tcW w:type="dxa" w:w="2880"/>
            <w:shd w:val="clear" w:color="auto" w:fill="1F2A44"/>
          </w:tcPr>
          <w:p>
            <w:r/>
            <w:r>
              <w:rPr>
                <w:b/>
                <w:color w:val="FFFFFF"/>
                <w:sz w:val="22"/>
              </w:rPr>
              <w:t>Primary Tactical/Surveillance Tool</w:t>
            </w:r>
          </w:p>
        </w:tc>
      </w:tr>
      <w:tr>
        <w:tc>
          <w:tcPr>
            <w:tcW w:type="dxa" w:w="2880"/>
          </w:tcPr>
          <w:p>
            <w:r/>
            <w:r>
              <w:rPr>
                <w:sz w:val="21"/>
              </w:rPr>
              <w:t>Regional (Zonal Coalition)</w:t>
            </w:r>
          </w:p>
        </w:tc>
        <w:tc>
          <w:tcPr>
            <w:tcW w:type="dxa" w:w="2880"/>
          </w:tcPr>
          <w:p>
            <w:r/>
            <w:r>
              <w:rPr>
                <w:sz w:val="21"/>
              </w:rPr>
              <w:t>Harmonized legislative policies, data fusion, and trans-border rapid response operations.</w:t>
            </w:r>
          </w:p>
        </w:tc>
        <w:tc>
          <w:tcPr>
            <w:tcW w:type="dxa" w:w="2880"/>
          </w:tcPr>
          <w:p>
            <w:r/>
            <w:r>
              <w:rPr>
                <w:sz w:val="21"/>
              </w:rPr>
              <w:t>Regional Data Fusion Center &amp; Heavy Airborne Drone Grids</w:t>
            </w:r>
          </w:p>
        </w:tc>
      </w:tr>
      <w:tr>
        <w:tc>
          <w:tcPr>
            <w:tcW w:type="dxa" w:w="2880"/>
            <w:shd w:val="clear" w:color="auto" w:fill="E8ECF1"/>
          </w:tcPr>
          <w:p>
            <w:r/>
            <w:r>
              <w:rPr>
                <w:sz w:val="21"/>
              </w:rPr>
              <w:t>Local Government Area</w:t>
            </w:r>
          </w:p>
        </w:tc>
        <w:tc>
          <w:tcPr>
            <w:tcW w:type="dxa" w:w="2880"/>
            <w:shd w:val="clear" w:color="auto" w:fill="E8ECF1"/>
          </w:tcPr>
          <w:p>
            <w:r/>
            <w:r>
              <w:rPr>
                <w:sz w:val="21"/>
              </w:rPr>
              <w:t>Logistical funding administration, multi-agency deployment, and infrastructure security.</w:t>
            </w:r>
          </w:p>
        </w:tc>
        <w:tc>
          <w:tcPr>
            <w:tcW w:type="dxa" w:w="2880"/>
            <w:shd w:val="clear" w:color="auto" w:fill="E8ECF1"/>
          </w:tcPr>
          <w:p>
            <w:r/>
            <w:r>
              <w:rPr>
                <w:sz w:val="21"/>
              </w:rPr>
              <w:t>LGA Command Hubs &amp; Biometric Rural Profiling Systems</w:t>
            </w:r>
          </w:p>
        </w:tc>
      </w:tr>
      <w:tr>
        <w:tc>
          <w:tcPr>
            <w:tcW w:type="dxa" w:w="2880"/>
          </w:tcPr>
          <w:p>
            <w:r/>
            <w:r>
              <w:rPr>
                <w:sz w:val="21"/>
              </w:rPr>
              <w:t>Community Participation</w:t>
            </w:r>
          </w:p>
        </w:tc>
        <w:tc>
          <w:tcPr>
            <w:tcW w:type="dxa" w:w="2880"/>
          </w:tcPr>
          <w:p>
            <w:r/>
            <w:r>
              <w:rPr>
                <w:sz w:val="21"/>
              </w:rPr>
              <w:t>Human-source intelligence, grassroots dispute mediation, and neighborhood watch operations.</w:t>
            </w:r>
          </w:p>
        </w:tc>
        <w:tc>
          <w:tcPr>
            <w:tcW w:type="dxa" w:w="2880"/>
          </w:tcPr>
          <w:p>
            <w:r/>
            <w:r>
              <w:rPr>
                <w:sz w:val="21"/>
              </w:rPr>
              <w:t>M-PIDS Smart Mobile Tools &amp; VGN Foot Patrols</w:t>
            </w:r>
          </w:p>
        </w:tc>
      </w:tr>
    </w:tbl>
    <w:p>
      <w:pPr>
        <w:spacing w:after="280"/>
      </w:pPr>
    </w:p>
    <w:p>
      <w:pPr>
        <w:spacing w:before="400" w:after="160"/>
      </w:pPr>
      <w:r>
        <w:rPr>
          <w:rFonts w:ascii="Calibri" w:hAnsi="Calibri"/>
          <w:b/>
          <w:color w:val="1F2A44"/>
          <w:sz w:val="32"/>
        </w:rPr>
        <w:t>6. Methodology Tier 1: The Regional Security Coalition</w:t>
      </w:r>
    </w:p>
    <w:p>
      <w:pPr>
        <w:spacing w:after="200" w:line="324" w:lineRule="auto"/>
        <w:jc w:val="both"/>
      </w:pPr>
      <w:r>
        <w:rPr>
          <w:rFonts w:ascii="Calibri" w:hAnsi="Calibri"/>
          <w:sz w:val="24"/>
        </w:rPr>
        <w:t>The first tier of the devolution methodology establishes a robust macro-level framework through a unified Regional Security Coalition. Leveraging the administrative momentum of the North-Central Development Commission (NCDC) — which secured a strategic N140 billion budget for the 2026 fiscal year — the six states and the FCT must formalize a Joint Security Command. This regional entity bypasses state-border limitations to prevent criminal elements from escaping jurisdiction simply by crossing from Nasarawa into the FCT or from Niger into Kwara.</w:t>
      </w:r>
    </w:p>
    <w:p>
      <w:pPr>
        <w:spacing w:after="200" w:line="324" w:lineRule="auto"/>
        <w:jc w:val="both"/>
      </w:pPr>
      <w:r>
        <w:rPr>
          <w:rFonts w:ascii="Calibri" w:hAnsi="Calibri"/>
          <w:sz w:val="24"/>
        </w:rPr>
        <w:t>The core operational anchor of this tier is the Regional Security Data Fusion Center. This hub integrates real-time satellite imagery, geospatial mapping, and automated cellular metadata tracking across the entire zone. The regional coalition is also responsible for procuring and deploying high-altitude, long-endurance (HALE) surveillance drones. These unmanned aerial vehicles (UAVs) provide continuous thermal imaging coverage of known criminal hideouts, such as the expansive forests bordering Niger, Kaduna, and the FCT, relaying actionable coordinates directly to multi-agency strike teams.</w:t>
      </w:r>
    </w:p>
    <w:p>
      <w:pPr>
        <w:spacing w:before="400" w:after="160"/>
      </w:pPr>
      <w:r>
        <w:rPr>
          <w:rFonts w:ascii="Calibri" w:hAnsi="Calibri"/>
          <w:b/>
          <w:color w:val="1F2A44"/>
          <w:sz w:val="32"/>
        </w:rPr>
        <w:t>7. Methodology Tier 2: Local Government Area Command Hubs</w:t>
      </w:r>
    </w:p>
    <w:p>
      <w:pPr>
        <w:spacing w:after="200" w:line="324" w:lineRule="auto"/>
        <w:jc w:val="both"/>
      </w:pPr>
      <w:r>
        <w:rPr>
          <w:rFonts w:ascii="Calibri" w:hAnsi="Calibri"/>
          <w:sz w:val="24"/>
        </w:rPr>
        <w:t>Beneath the regional framework, the second tier decentralizes operations to the 121 Local Government Areas (LGAs) spanning the North Central zone. The LGA tier serves as the primary logistical clearinghouse and tactical coordinating body for security operations. Every LGA will establish a functional Local Security Advisory Council (LSAC), chaired by the democratically elected LGA Council Chairman. This council formally brings together divisional police officers, NSCDC commanders, representatives of the Nigerian Army, and local intelligence officers.</w:t>
      </w:r>
    </w:p>
    <w:p>
      <w:pPr>
        <w:spacing w:after="200" w:line="324" w:lineRule="auto"/>
        <w:jc w:val="both"/>
      </w:pPr>
      <w:r>
        <w:rPr>
          <w:rFonts w:ascii="Calibri" w:hAnsi="Calibri"/>
          <w:sz w:val="24"/>
        </w:rPr>
        <w:t>The critical technical mandate of the LGA Command Hub is the implementation of a comprehensive Biometric Rural Profiling System. By systematically registering all rural residents, migratory pastoralists, and commercial transport operators within the local government boundaries, the state eliminates the anonymity that modern insurgent networks rely upon. Furthermore, the LSAC directly administers localized rapid-response units equipped with ruggedized all-terrain vehicles (ATVs) and encrypted digital radio arrays, ensuring that security alerts generated within the communities are met with armed enforcement within a maximum 15-minute window.</w:t>
      </w:r>
    </w:p>
    <w:p>
      <w:pPr>
        <w:spacing w:before="400" w:after="160"/>
      </w:pPr>
      <w:r>
        <w:rPr>
          <w:rFonts w:ascii="Calibri" w:hAnsi="Calibri"/>
          <w:b/>
          <w:color w:val="1F2A44"/>
          <w:sz w:val="32"/>
        </w:rPr>
        <w:t>8. Methodology Tier 3: Grassroots Community-Led Intelligence and Surveillance</w:t>
      </w:r>
    </w:p>
    <w:p>
      <w:pPr>
        <w:spacing w:after="200" w:line="324" w:lineRule="auto"/>
        <w:jc w:val="both"/>
      </w:pPr>
      <w:r>
        <w:rPr>
          <w:rFonts w:ascii="Calibri" w:hAnsi="Calibri"/>
          <w:sz w:val="24"/>
        </w:rPr>
        <w:t>The foundational tier of the architecture shifts security from an elite state function to an active grassroots civic duty. No modern security infrastructure can succeed without the explicit cooperation and trust of the population living within vulnerable spaces. This tier formalizes community participation by legally integrating neighborhood watch organizations, certified hunters, and the Vigilante Group of Nigeria (VGN) into the national security matrix under strict oversight frameworks.</w:t>
      </w:r>
    </w:p>
    <w:p>
      <w:pPr>
        <w:spacing w:after="200" w:line="324" w:lineRule="auto"/>
        <w:jc w:val="both"/>
      </w:pPr>
      <w:r>
        <w:rPr>
          <w:rFonts w:ascii="Calibri" w:hAnsi="Calibri"/>
          <w:sz w:val="24"/>
        </w:rPr>
        <w:t>To maximize surveillance efficiency without requiring heavy hardware investments, communities will deploy the Mobile-Based Physical Intrusion Detection System (M-PIDS) framework. This system utilizes standard smartphone devices distributed to trained community leaders, forest guards, and local farmers. Equipped with specialized, offline-capable mobile applications, these grassroots operators can instantly capture, encrypt, and transmit geotagged text, audio, or photographic evidence of suspicious movements, illegal weapons camps, or unusual gatherings directly to their respective LGA Command Hubs. This turns every citizen into a vital, protected intelligence node.</w:t>
      </w:r>
    </w:p>
    <w:p>
      <w:pPr>
        <w:spacing w:before="400" w:after="160"/>
      </w:pPr>
      <w:r>
        <w:rPr>
          <w:rFonts w:ascii="Calibri" w:hAnsi="Calibri"/>
          <w:b/>
          <w:color w:val="1F2A44"/>
          <w:sz w:val="32"/>
        </w:rPr>
        <w:t>9. Institutionalizing Synergy: Integrating Traditional and Religious Leadership</w:t>
      </w:r>
    </w:p>
    <w:p>
      <w:pPr>
        <w:spacing w:after="200" w:line="324" w:lineRule="auto"/>
        <w:jc w:val="both"/>
      </w:pPr>
      <w:r>
        <w:rPr>
          <w:rFonts w:ascii="Calibri" w:hAnsi="Calibri"/>
          <w:sz w:val="24"/>
        </w:rPr>
        <w:t>To bridge the gap between formal state law enforcement and local populations, the devolution methodology integrates traditional institutions and religious authorities into formal Early Warning and Response (EWER) systems. In North Central Nigeria, traditional rulers — ranging from first-class emirs to paramount community chiefs — possess immense socio-cultural legitimacy and unmatched local intelligence networks. By institutionalizing regular, mandatory town hall security dialogues, the state provides a safe, structured platform for traditional leaders to flag rising communal tensions, identify radical elements, and mediate escalating farmer-herder friction before it degrades into active violence. This integration strips criminal elements of their local camouflage and builds a strong wall of community resilience.</w:t>
      </w:r>
    </w:p>
    <w:p>
      <w:pPr>
        <w:spacing w:before="400" w:after="160"/>
      </w:pPr>
      <w:r>
        <w:rPr>
          <w:rFonts w:ascii="Calibri" w:hAnsi="Calibri"/>
          <w:b/>
          <w:color w:val="1F2A44"/>
          <w:sz w:val="32"/>
        </w:rPr>
        <w:t>10. Technology Integration: Low-Cost Smart Surveillance Tools</w:t>
      </w:r>
    </w:p>
    <w:p>
      <w:pPr>
        <w:spacing w:after="200" w:line="324" w:lineRule="auto"/>
        <w:jc w:val="both"/>
      </w:pPr>
      <w:r>
        <w:rPr>
          <w:rFonts w:ascii="Calibri" w:hAnsi="Calibri"/>
          <w:sz w:val="24"/>
        </w:rPr>
        <w:t>A common challenge facing sweeping security reforms is the high cost of implementation. This methodology resolves this hurdle by adopting a hybrid technology model that pairs advanced regional assets with low-cost, decentralized smart surveillance tools at the community level. While the Regional Coalition funds advanced drone grids, the local government and community tiers utilize commercial-off-the-shelf (COTS) equipment that requires minimal maintenance and basic training to operate.</w:t>
      </w:r>
    </w:p>
    <w:p>
      <w:pPr>
        <w:spacing w:after="200" w:line="324" w:lineRule="auto"/>
        <w:jc w:val="both"/>
      </w:pPr>
      <w:r>
        <w:rPr>
          <w:rFonts w:ascii="Calibri" w:hAnsi="Calibri"/>
          <w:sz w:val="24"/>
        </w:rPr>
        <w:t>Key technological elements include solar-powered mesh network cameras deployed at critical rural transit choke points, narrow-band long-range (LoRa) communication devices that operate independently of traditional cellular networks, and automated acoustic gunshot detection sensors embedded in high-risk agricultural belts. By funneling these diverse streams of localized data into predictive artificial intelligence algorithms at the LGA command hubs, law enforcement can anticipate criminal trajectories, optimize patrol routes, and disrupt kidnapping operations while they are still in the planning stages.</w:t>
      </w:r>
    </w:p>
    <w:p>
      <w:pPr>
        <w:spacing w:before="400" w:after="160"/>
      </w:pPr>
      <w:r>
        <w:rPr>
          <w:rFonts w:ascii="Calibri" w:hAnsi="Calibri"/>
          <w:b/>
          <w:color w:val="1F2A44"/>
          <w:sz w:val="32"/>
        </w:rPr>
        <w:t>11. Safeguards, Accountability, and Civil Rights Protections</w:t>
      </w:r>
    </w:p>
    <w:p>
      <w:pPr>
        <w:spacing w:after="200" w:line="324" w:lineRule="auto"/>
        <w:jc w:val="both"/>
      </w:pPr>
      <w:r>
        <w:rPr>
          <w:rFonts w:ascii="Calibri" w:hAnsi="Calibri"/>
          <w:sz w:val="24"/>
        </w:rPr>
        <w:t>Decentralizing tactical control and empowering local vigilante groups carries a legitimate risk of abuse, including potential political weaponization by sub-national actors, extrajudicial excesses, or the fueling of ethnic and partisan militias. To prevent these outcomes, the framework establishes iron-clad accountability mechanisms and independent oversight bodies that run parallel to every devolved tier. No local security formation or neighborhood watch may operate without formal registration, comprehensive vetting by the DSS, and continuous training in human rights standards and civil liberties.</w:t>
      </w:r>
    </w:p>
    <w:p>
      <w:pPr>
        <w:spacing w:after="200" w:line="324" w:lineRule="auto"/>
        <w:jc w:val="both"/>
      </w:pPr>
      <w:r>
        <w:rPr>
          <w:rFonts w:ascii="Calibri" w:hAnsi="Calibri"/>
          <w:sz w:val="24"/>
        </w:rPr>
        <w:t>Furthermore, every state within the regional coalition will establish an Independent Civilian Oversight Board (ICOB), comprised of human rights attorneys, civil society leaders, and retired judicial officers. This board holds the statutory power to investigate community complaints, audit LGA security expenditure, and recommend the immediate suspension or prosecution of any security operative found guilty of misconduct. This guarantees that decentralization strengthens public safety without compromising constitutional rights.</w:t>
      </w:r>
    </w:p>
    <w:p>
      <w:pPr>
        <w:spacing w:before="400" w:after="160"/>
      </w:pPr>
      <w:r>
        <w:rPr>
          <w:rFonts w:ascii="Calibri" w:hAnsi="Calibri"/>
          <w:b/>
          <w:color w:val="1F2A44"/>
          <w:sz w:val="32"/>
        </w:rPr>
        <w:t>12. Implementation Roadmap, Sustainability, and Conclusion</w:t>
      </w:r>
    </w:p>
    <w:p>
      <w:pPr>
        <w:spacing w:after="200" w:line="324" w:lineRule="auto"/>
        <w:jc w:val="both"/>
      </w:pPr>
      <w:r>
        <w:rPr>
          <w:rFonts w:ascii="Calibri" w:hAnsi="Calibri"/>
          <w:sz w:val="24"/>
        </w:rPr>
        <w:t>The transition to this devolved security architecture is structured across a three-phase timeline over a 12-month horizon. Phase 1 (Months 1–3) focuses on the legal and constitutional alignment, utilizing the 2026 state-policing amendment bills to pass uniform sub-national legislation across the participating North Central states. Phase 2 (Months 4–8) drives the operational launch, funding the LGA command hubs through the NCDC's security allocation and deploying the biometric and M-PIDS surveillance grids. Phase 3 (Months 9–12) achieves full integration, connecting community networks with regional data fusion hubs and conducting comprehensive inter-agency field simulations.</w:t>
      </w:r>
    </w:p>
    <w:p>
      <w:pPr>
        <w:spacing w:after="200" w:line="324" w:lineRule="auto"/>
        <w:jc w:val="both"/>
      </w:pPr>
      <w:r>
        <w:rPr>
          <w:rFonts w:ascii="Calibri" w:hAnsi="Calibri"/>
          <w:sz w:val="24"/>
        </w:rPr>
        <w:t>In conclusion, the severe security challenges facing North Central Nigeria cannot be resolved through centralized military operations alone. True stability requires structural evolution. By systematically devolving control and embedding surveillance capabilities within regional, local government, and grassroots community tiers, Nigeria can build a responsive, transparent, and profoundly effective security ecosystem. This framework does not just dismantle criminal networks — it restores governance legitimacy and secures a peaceful, prosperous future for the heart of the nation.</w:t>
      </w:r>
    </w:p>
    <w:p>
      <w:pPr>
        <w:spacing w:before="400" w:after="160"/>
      </w:pPr>
      <w:r>
        <w:rPr>
          <w:rFonts w:ascii="Calibri" w:hAnsi="Calibri"/>
          <w:b/>
          <w:color w:val="1F2A44"/>
          <w:sz w:val="30"/>
        </w:rPr>
        <w:t>References</w:t>
      </w:r>
    </w:p>
    <w:p>
      <w:pPr>
        <w:spacing w:after="120" w:line="324" w:lineRule="auto"/>
        <w:jc w:val="left"/>
      </w:pPr>
      <w:r>
        <w:rPr>
          <w:rFonts w:ascii="Calibri" w:hAnsi="Calibri"/>
          <w:sz w:val="22"/>
        </w:rPr>
        <w:t>Akinfe, A. (2026) 'The Nigeria Geo-Political Zone Bill 2026: A Blueprint for Structural Restructuring and Zonal Policing Frameworks', Restructuring Policy Review, 14(2), pp. 45-62.</w:t>
      </w:r>
    </w:p>
    <w:p>
      <w:pPr>
        <w:spacing w:after="120" w:line="324" w:lineRule="auto"/>
        <w:jc w:val="left"/>
      </w:pPr>
      <w:r>
        <w:rPr>
          <w:rFonts w:ascii="Calibri" w:hAnsi="Calibri"/>
          <w:sz w:val="22"/>
        </w:rPr>
        <w:t>Armed Conflict Location &amp; Event Data Project (ACLED) (2026) Asymmetrical Violence and Fragmented Criminal Networks in Central Nigeria: 2023-2026 Trend Analysis. Abuja: ACLED Africa Bureau.</w:t>
      </w:r>
    </w:p>
    <w:p>
      <w:pPr>
        <w:spacing w:after="120" w:line="324" w:lineRule="auto"/>
        <w:jc w:val="left"/>
      </w:pPr>
      <w:r>
        <w:rPr>
          <w:rFonts w:ascii="Calibri" w:hAnsi="Calibri"/>
          <w:sz w:val="22"/>
        </w:rPr>
        <w:t>Egwemi, V. and Odo, L.U. (2003) 'Local Government Administration and the Realities of Rural Security Challenges in Nigeria', Journal of Economic and Administrative Studies, 1(1), pp. 12-25.</w:t>
      </w:r>
    </w:p>
    <w:p>
      <w:pPr>
        <w:spacing w:after="120" w:line="324" w:lineRule="auto"/>
        <w:jc w:val="left"/>
      </w:pPr>
      <w:r>
        <w:rPr>
          <w:rFonts w:ascii="Calibri" w:hAnsi="Calibri"/>
          <w:sz w:val="22"/>
        </w:rPr>
        <w:t>Fapohunda, A. (2024) The Constitution of the Federal Republic of Nigeria: New Governance Model for Nigeria Act 2024. Lagos: Afenifere Policy Secretariat.</w:t>
      </w:r>
    </w:p>
    <w:p>
      <w:pPr>
        <w:spacing w:after="120" w:line="324" w:lineRule="auto"/>
        <w:jc w:val="left"/>
      </w:pPr>
      <w:r>
        <w:rPr>
          <w:rFonts w:ascii="Calibri" w:hAnsi="Calibri"/>
          <w:sz w:val="22"/>
        </w:rPr>
        <w:t>National Assembly of Nigeria (2026) Report of the Joint Committee on Constitutional Review on the Bill for the Establishment of State and Decentralized Police Forces (HB. 1422 / SB. 893). Abuja: National Assembly Press.</w:t>
      </w:r>
    </w:p>
    <w:p>
      <w:pPr>
        <w:spacing w:after="120" w:line="324" w:lineRule="auto"/>
        <w:jc w:val="left"/>
      </w:pPr>
      <w:r>
        <w:rPr>
          <w:rFonts w:ascii="Calibri" w:hAnsi="Calibri"/>
          <w:sz w:val="22"/>
        </w:rPr>
        <w:t>North-Central Development Commission (NCDC) (2026) Strategic Action Plan and Capital Budget Allocation for Fiscal Year 2026: Prioritizing Agriculture, Infrastructure, and Security Regional Logistics. Abuja: NCDC Federal Secretariat.</w:t>
      </w:r>
    </w:p>
    <w:p>
      <w:pPr>
        <w:spacing w:after="120" w:line="324" w:lineRule="auto"/>
        <w:jc w:val="left"/>
      </w:pPr>
      <w:r>
        <w:rPr>
          <w:rFonts w:ascii="Calibri" w:hAnsi="Calibri"/>
          <w:sz w:val="22"/>
        </w:rPr>
        <w:t>Nwachukwu, B.U. and Ellah, C.C. (2024) 'Local Government and Security Challenges in Nigeria: Addressing the Root Causes of Rural Insecurity', International Journal of Economic Development and Social Sciences, 1(1), pp. 15-32.</w:t>
      </w:r>
    </w:p>
    <w:p>
      <w:pPr>
        <w:spacing w:after="120" w:line="324" w:lineRule="auto"/>
        <w:jc w:val="left"/>
      </w:pPr>
      <w:r>
        <w:rPr>
          <w:rFonts w:ascii="Calibri" w:hAnsi="Calibri"/>
          <w:sz w:val="22"/>
        </w:rPr>
        <w:t>Olayiwola, L. (2026) 'Deconstructing Nigeria's Asymmetrical Security Challenge: Why Centralized Policing Fails Local Realities', The Cable Policy Series, 21 August.</w:t>
      </w:r>
    </w:p>
    <w:p>
      <w:pPr>
        <w:spacing w:after="120" w:line="324" w:lineRule="auto"/>
        <w:jc w:val="left"/>
      </w:pPr>
      <w:r>
        <w:rPr>
          <w:rFonts w:ascii="Calibri" w:hAnsi="Calibri"/>
          <w:sz w:val="22"/>
        </w:rPr>
        <w:t>Oteri, J. (2026) 'Decentralized Security Architecture: Defining Federal and State Roles in State Policing in Nigeria', Keynote Address delivered at the 2026 Feast of Barracuda, National Association of Seadogs (NAS), Zuma Deck, Abuja, 20 June.</w:t>
      </w:r>
    </w:p>
    <w:p>
      <w:pPr>
        <w:spacing w:after="120" w:line="324" w:lineRule="auto"/>
        <w:jc w:val="left"/>
      </w:pPr>
      <w:r>
        <w:rPr>
          <w:rFonts w:ascii="Calibri" w:hAnsi="Calibri"/>
          <w:sz w:val="22"/>
        </w:rPr>
        <w:t>Routine Activity Theory Review (2026) 'Community-Based Approaches to Tackling Insecurity in Nigeria: Lessons and the Implementation Gap', Journal of Crime and Justice Studies, 8(3), pp. 114-129.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