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A44"/>
          <w:sz w:val="36"/>
        </w:rPr>
        <w:t>COLLABORATIVE APPROACHES TO STRENGTHENING SECURITY IN NORTH CENTRAL NIGERIA</w:t>
      </w:r>
    </w:p>
    <w:p>
      <w:pPr>
        <w:jc w:val="center"/>
      </w:pPr>
      <w:r>
        <w:rPr>
          <w:i/>
          <w:sz w:val="25"/>
        </w:rPr>
        <w:t>The Three-Tier Devolution Framework — Slide-by-Slide Read-Aloud Script (30 Slides / 30 Minutes)</w:t>
      </w:r>
    </w:p>
    <w:p>
      <w:pPr>
        <w:jc w:val="center"/>
      </w:pPr>
      <w:r>
        <w:rPr>
          <w:color w:val="606060"/>
          <w:sz w:val="20"/>
        </w:rPr>
        <w:t>Prepared August 22, 2026 | Synced 1:1 to AVM_MORGAN_NC_SECURITY_DEVOLUTION_DECK_30SLIDES.pptx</w:t>
      </w:r>
    </w:p>
    <w:p>
      <w:r>
        <w:t>──────────────────────────────────────────────────────────────────────────────────────────</w:t>
      </w:r>
    </w:p>
    <w:p>
      <w:pPr>
        <w:spacing w:before="320" w:after="60"/>
      </w:pPr>
      <w:r>
        <w:rPr>
          <w:rFonts w:ascii="Calibri" w:hAnsi="Calibri"/>
          <w:b/>
          <w:color w:val="8A96A8"/>
          <w:sz w:val="21"/>
        </w:rPr>
        <w:t>DELIVERY NOTE (not read aloud)</w:t>
      </w:r>
    </w:p>
    <w:p>
      <w:pPr>
        <w:spacing w:after="280" w:line="324" w:lineRule="auto"/>
        <w:jc w:val="both"/>
      </w:pPr>
      <w:r>
        <w:rPr>
          <w:rFonts w:ascii="Calibri" w:hAnsi="Calibri"/>
          <w:i/>
          <w:sz w:val="20"/>
        </w:rPr>
        <w:t>Every one of the 30 slides has its own dedicated narration block below, in the exact same order as the deck — advance one slide per block, never combine two. At roughly 3,600 words, this reads at 27.8 minutes at a brisk 130 wpm and 30.0 minutes at a measured, formal 120 wpm with full breath pauses on every '//' mark — read at the deliberate pace appropriate to this subject, this lands at 30 minutes without going over. Cumulative timing tags below show where you should be at each point.</w:t>
      </w:r>
    </w:p>
    <w:p>
      <w:pPr>
        <w:spacing w:before="320" w:after="60"/>
      </w:pPr>
      <w:r>
        <w:rPr>
          <w:rFonts w:ascii="Calibri" w:hAnsi="Calibri"/>
          <w:b/>
          <w:color w:val="1F2A44"/>
          <w:sz w:val="29"/>
        </w:rPr>
        <w:t>SLIDE 1: TITLE SLIDE</w:t>
      </w:r>
    </w:p>
    <w:p>
      <w:pPr>
        <w:spacing w:after="20"/>
      </w:pPr>
      <w:r>
        <w:rPr>
          <w:b/>
          <w:color w:val="4BACC6"/>
          <w:sz w:val="19"/>
        </w:rPr>
        <w:t>[SLIDE 1]</w:t>
      </w:r>
    </w:p>
    <w:p>
      <w:pPr>
        <w:spacing w:after="100"/>
      </w:pPr>
      <w:r>
        <w:rPr>
          <w:i/>
          <w:color w:val="8A96A8"/>
          <w:sz w:val="18"/>
        </w:rPr>
        <w:t>[0:00 – 0:35]</w:t>
      </w:r>
    </w:p>
    <w:p>
      <w:pPr>
        <w:spacing w:after="160" w:line="324" w:lineRule="auto"/>
        <w:jc w:val="both"/>
      </w:pPr>
      <w:r>
        <w:rPr>
          <w:rFonts w:ascii="Calibri" w:hAnsi="Calibri"/>
          <w:i w:val="0"/>
          <w:sz w:val="24"/>
        </w:rPr>
        <w:t>Your Excellencies, distinguished Governors, security chiefs, traditional rulers, and honoured guests — good morning, and thank you sincerely for having me. // What I bring you today is not another response plan layered on top of the last one. It is a structural framework for security in North Central Nigeria, built on three tiers of shared responsibility, and tested against the real incidents of the last eighteen months rather than against theory alone — because I believe this audience has earned an argument built on evidence, not on aspiration.</w:t>
      </w:r>
    </w:p>
    <w:p>
      <w:pPr>
        <w:spacing w:before="320" w:after="60"/>
      </w:pPr>
      <w:r>
        <w:rPr>
          <w:rFonts w:ascii="Calibri" w:hAnsi="Calibri"/>
          <w:b/>
          <w:color w:val="1F2A44"/>
          <w:sz w:val="29"/>
        </w:rPr>
        <w:t>SLIDE 2: ADDRESS ROADMAP</w:t>
      </w:r>
    </w:p>
    <w:p>
      <w:pPr>
        <w:spacing w:after="20"/>
      </w:pPr>
      <w:r>
        <w:rPr>
          <w:b/>
          <w:color w:val="4BACC6"/>
          <w:sz w:val="19"/>
        </w:rPr>
        <w:t>[SLIDE 2]</w:t>
      </w:r>
    </w:p>
    <w:p>
      <w:pPr>
        <w:spacing w:after="100"/>
      </w:pPr>
      <w:r>
        <w:rPr>
          <w:i/>
          <w:color w:val="8A96A8"/>
          <w:sz w:val="18"/>
        </w:rPr>
        <w:t>[0:35 – 2:00]</w:t>
      </w:r>
    </w:p>
    <w:p>
      <w:pPr>
        <w:spacing w:after="160" w:line="324" w:lineRule="auto"/>
        <w:jc w:val="both"/>
      </w:pPr>
      <w:r>
        <w:rPr>
          <w:rFonts w:ascii="Calibri" w:hAnsi="Calibri"/>
          <w:i w:val="0"/>
          <w:sz w:val="24"/>
        </w:rPr>
        <w:t>Over the next thirty minutes I will cover six things, in strict order, and I ask for your patience through all six, because each builds on the one before it. First, why our centralized security model has reached its structural limit. Second, the empirical record — specific, named incidents from Niger State, the FCT corridor, and Benue and Plateau — that proves the point beyond reasonable doubt. // Third, the three-tier devolution framework itself: Regional, Local Government, and Community, each with a defined mandate and a defined tool set, so that when I finish this address every person in this room knows exactly which tier they personally sit within, and exactly what is now expected of them. Fourth, the technology that makes this framework affordable rather than merely aspirational. Fifth, the safeguards that keep every tier accountable to the citizens it exists to serve. And sixth, the twelve-month roadmap for putting all of this into practice, starting immediately, not next year.</w:t>
      </w:r>
    </w:p>
    <w:p>
      <w:pPr>
        <w:spacing w:before="320" w:after="60"/>
      </w:pPr>
      <w:r>
        <w:rPr>
          <w:rFonts w:ascii="Calibri" w:hAnsi="Calibri"/>
          <w:b/>
          <w:color w:val="1F2A44"/>
          <w:sz w:val="29"/>
        </w:rPr>
        <w:t>SLIDE 3: OPENING REMARKS</w:t>
      </w:r>
    </w:p>
    <w:p>
      <w:pPr>
        <w:spacing w:after="20"/>
      </w:pPr>
      <w:r>
        <w:rPr>
          <w:b/>
          <w:color w:val="4BACC6"/>
          <w:sz w:val="19"/>
        </w:rPr>
        <w:t>[SLIDE 3]</w:t>
      </w:r>
    </w:p>
    <w:p>
      <w:pPr>
        <w:spacing w:after="100"/>
      </w:pPr>
      <w:r>
        <w:rPr>
          <w:i/>
          <w:color w:val="8A96A8"/>
          <w:sz w:val="18"/>
        </w:rPr>
        <w:t>[2:00 – 3:45]</w:t>
      </w:r>
    </w:p>
    <w:p>
      <w:pPr>
        <w:spacing w:after="160" w:line="324" w:lineRule="auto"/>
        <w:jc w:val="both"/>
      </w:pPr>
      <w:r>
        <w:rPr>
          <w:rFonts w:ascii="Calibri" w:hAnsi="Calibri"/>
          <w:i w:val="0"/>
          <w:sz w:val="24"/>
        </w:rPr>
        <w:t>I want to be direct about what this is and what it is not. This is not a request for more troops, a bigger budget line, or another emergency declaration stacked on top of previous ones that achieved only temporary calm. It is a policy memorandum, grounded in the empirical record of what has, and has not, worked across our region through 2025 and 2026. // I do not come to you with slogans. I come with a tested methodology — one that devolves tactical security control, intelligence management, and modern surveillance across three operational tiers, each with a defined mandate, each accountable to the tier above it, and each, crucially, closer to the ground than the tier above it. That last point is the entire argument of this address, and I will return to it repeatedly, because everything else I say today is simply an elaboration of that single idea — devolution is not a slogan, it is a specific, measurable claim about response time.</w:t>
      </w:r>
    </w:p>
    <w:p>
      <w:pPr>
        <w:spacing w:before="320" w:after="60"/>
      </w:pPr>
      <w:r>
        <w:rPr>
          <w:rFonts w:ascii="Calibri" w:hAnsi="Calibri"/>
          <w:b/>
          <w:color w:val="1F2A44"/>
          <w:sz w:val="29"/>
        </w:rPr>
        <w:t>SLIDE 4: EXECUTIVE SUMMARY</w:t>
      </w:r>
    </w:p>
    <w:p>
      <w:pPr>
        <w:spacing w:after="20"/>
      </w:pPr>
      <w:r>
        <w:rPr>
          <w:b/>
          <w:color w:val="4BACC6"/>
          <w:sz w:val="19"/>
        </w:rPr>
        <w:t>[SLIDE 4]</w:t>
      </w:r>
    </w:p>
    <w:p>
      <w:pPr>
        <w:spacing w:after="100"/>
      </w:pPr>
      <w:r>
        <w:rPr>
          <w:i/>
          <w:color w:val="8A96A8"/>
          <w:sz w:val="18"/>
        </w:rPr>
        <w:t>[3:45 – 5:00]</w:t>
      </w:r>
    </w:p>
    <w:p>
      <w:pPr>
        <w:spacing w:after="160" w:line="324" w:lineRule="auto"/>
        <w:jc w:val="both"/>
      </w:pPr>
      <w:r>
        <w:rPr>
          <w:rFonts w:ascii="Calibri" w:hAnsi="Calibri"/>
          <w:i w:val="0"/>
          <w:sz w:val="24"/>
        </w:rPr>
        <w:t>North Central Nigeria has long served as our agricultural engine and our socioeconomic bridge, connecting the country's north and south, east and west, and home to some of our most fertile and, unfortunately, most contested land in the entire federation. Yet a security model administered entirely from federal headquarters in Abuja has proven structurally inadequate to the evolving threats of this decade. // What I propose systematically devolves tactical security control, intelligence management, and active surveillance across the Regional coalition, our Local Government Areas, and grass-root community partnerships — leveraging the 2026 National Assembly's constitutional amendment bills on state and decentralized policing to build something resilient and permanent, not merely reactive and temporary, and not dependent on the political fortunes of whichever administration happens to hold office in a given year.</w:t>
      </w:r>
    </w:p>
    <w:p>
      <w:pPr>
        <w:spacing w:before="320" w:after="60"/>
      </w:pPr>
      <w:r>
        <w:rPr>
          <w:rFonts w:ascii="Calibri" w:hAnsi="Calibri"/>
          <w:b/>
          <w:color w:val="1F2A44"/>
          <w:sz w:val="29"/>
        </w:rPr>
        <w:t>SLIDE 5: THE CONTEXT OF INSECURITY</w:t>
      </w:r>
    </w:p>
    <w:p>
      <w:pPr>
        <w:spacing w:after="20"/>
      </w:pPr>
      <w:r>
        <w:rPr>
          <w:b/>
          <w:color w:val="4BACC6"/>
          <w:sz w:val="19"/>
        </w:rPr>
        <w:t>[SLIDE 5]</w:t>
      </w:r>
    </w:p>
    <w:p>
      <w:pPr>
        <w:spacing w:after="100"/>
      </w:pPr>
      <w:r>
        <w:rPr>
          <w:i/>
          <w:color w:val="8A96A8"/>
          <w:sz w:val="18"/>
        </w:rPr>
        <w:t>[5:00 – 6:15]</w:t>
      </w:r>
    </w:p>
    <w:p>
      <w:pPr>
        <w:spacing w:after="160" w:line="324" w:lineRule="auto"/>
        <w:jc w:val="both"/>
      </w:pPr>
      <w:r>
        <w:rPr>
          <w:rFonts w:ascii="Calibri" w:hAnsi="Calibri"/>
          <w:i w:val="0"/>
          <w:sz w:val="24"/>
        </w:rPr>
        <w:t>Our threat landscape has fundamentally shifted, and our response architecture has not kept pace with that shift. What began as traditional land disputes has become highly monetized, fragmented, decentralized criminal enterprise — banditry, kidnapping-for-ransom, and farmer-herder confrontation operating not as isolated skirmishes, but as sophisticated, trans-border operations with their own financing, their own logistics, and in some documented cases their own informal insurance arrangements among the participants. // This is not a failure of military intent, and I want to be fair to the men and women already serving in difficult conditions. It is a deep implementation gap: centralized troop deployments must navigate lengthy bureaucratic chains of command before they can engage a threat that, by definition, is already local and already moving by the time authorization actually arrives on the ground, and by then the opportunity to prevent harm has usually already passed.</w:t>
      </w:r>
    </w:p>
    <w:p>
      <w:pPr>
        <w:spacing w:before="320" w:after="60"/>
      </w:pPr>
      <w:r>
        <w:rPr>
          <w:rFonts w:ascii="Calibri" w:hAnsi="Calibri"/>
          <w:b/>
          <w:color w:val="1F2A44"/>
          <w:sz w:val="29"/>
        </w:rPr>
        <w:t>SLIDE 6: THE IMPLEMENTATION GAP</w:t>
      </w:r>
    </w:p>
    <w:p>
      <w:pPr>
        <w:spacing w:after="20"/>
      </w:pPr>
      <w:r>
        <w:rPr>
          <w:b/>
          <w:color w:val="4BACC6"/>
          <w:sz w:val="19"/>
        </w:rPr>
        <w:t>[SLIDE 6]</w:t>
      </w:r>
    </w:p>
    <w:p>
      <w:pPr>
        <w:spacing w:after="100"/>
      </w:pPr>
      <w:r>
        <w:rPr>
          <w:i/>
          <w:color w:val="8A96A8"/>
          <w:sz w:val="18"/>
        </w:rPr>
        <w:t>[6:15 – 7:15]</w:t>
      </w:r>
    </w:p>
    <w:p>
      <w:pPr>
        <w:spacing w:after="160" w:line="324" w:lineRule="auto"/>
        <w:jc w:val="both"/>
      </w:pPr>
      <w:r>
        <w:rPr>
          <w:rFonts w:ascii="Calibri" w:hAnsi="Calibri"/>
          <w:i w:val="0"/>
          <w:sz w:val="24"/>
        </w:rPr>
        <w:t>That structural gap is precisely what transforms our vast rural and forested terrain — the corridors of Niger State, the expanding edges of the FCT, the forest belts of Kwara and Kaduna — into ungoverned space. // Criminal groups exploit the simple absence of immediate state authority to launch devastating raids on our agricultural clusters and our educational institutions, and they do so with some precision, because they know roughly how long it takes for help to arrive. Closing that gap in time, not merely in intention, is the single measurable goal of everything I will describe today, and I will ask you to judge every proposal that follows against that one test: does it, specifically and demonstrably, shorten the time between the first sign of danger and the arrival of a capable response.</w:t>
      </w:r>
    </w:p>
    <w:p>
      <w:pPr>
        <w:spacing w:before="320" w:after="60"/>
      </w:pPr>
      <w:r>
        <w:rPr>
          <w:rFonts w:ascii="Calibri" w:hAnsi="Calibri"/>
          <w:b/>
          <w:color w:val="1F2A44"/>
          <w:sz w:val="29"/>
        </w:rPr>
        <w:t>SLIDE 7: CASE STUDY: THE NIGER STATE SCHOOL ABDUCTION</w:t>
      </w:r>
    </w:p>
    <w:p>
      <w:pPr>
        <w:spacing w:after="20"/>
      </w:pPr>
      <w:r>
        <w:rPr>
          <w:b/>
          <w:color w:val="4BACC6"/>
          <w:sz w:val="19"/>
        </w:rPr>
        <w:t>[SLIDE 7]</w:t>
      </w:r>
    </w:p>
    <w:p>
      <w:pPr>
        <w:spacing w:after="100"/>
      </w:pPr>
      <w:r>
        <w:rPr>
          <w:i/>
          <w:color w:val="8A96A8"/>
          <w:sz w:val="18"/>
        </w:rPr>
        <w:t>[7:15 – 8:45]</w:t>
      </w:r>
    </w:p>
    <w:p>
      <w:pPr>
        <w:spacing w:after="160" w:line="324" w:lineRule="auto"/>
        <w:jc w:val="both"/>
      </w:pPr>
      <w:r>
        <w:rPr>
          <w:rFonts w:ascii="Calibri" w:hAnsi="Calibri"/>
          <w:i w:val="0"/>
          <w:sz w:val="24"/>
        </w:rPr>
        <w:t>Let me ground this argument in a specific, verified incident, because policy detached from evidence is merely opinion. In early 2025, a devastating mass abduction targeted a school in rural Niger State, where hundreds of students and members of staff were forcibly marched into dense forest. A combined rescue operation involving the Department of State Services and the Nigerian Army eventually succeeded — // but the weeks of delay between the abduction and the eventual rescue exposed a critical vulnerability in our early-warning mechanisms and our rural surveillance grids, a vulnerability that affected families across the state felt long after the cameras and the headlines had moved on. Ask yourselves plainly what changes if that same school sits inside a Local Government Command Hub's fifteen-minute response radius, with biometric profiling already tracking unfamiliar movement in the surrounding forest. That is exactly the delay Tier Two of this framework is engineered, specifically, to eliminate, and I use this incident deliberately because it is neither the worst nor the most recent, only the clearest illustration of the pattern.</w:t>
      </w:r>
    </w:p>
    <w:p>
      <w:pPr>
        <w:spacing w:before="320" w:after="60"/>
      </w:pPr>
      <w:r>
        <w:rPr>
          <w:rFonts w:ascii="Calibri" w:hAnsi="Calibri"/>
          <w:b/>
          <w:color w:val="1F2A44"/>
          <w:sz w:val="29"/>
        </w:rPr>
        <w:t>SLIDE 8: CASE STUDY: THE FCT–KOGI–NASARAWA CORRIDOR</w:t>
      </w:r>
    </w:p>
    <w:p>
      <w:pPr>
        <w:spacing w:after="20"/>
      </w:pPr>
      <w:r>
        <w:rPr>
          <w:b/>
          <w:color w:val="4BACC6"/>
          <w:sz w:val="19"/>
        </w:rPr>
        <w:t>[SLIDE 8]</w:t>
      </w:r>
    </w:p>
    <w:p>
      <w:pPr>
        <w:spacing w:after="100"/>
      </w:pPr>
      <w:r>
        <w:rPr>
          <w:i/>
          <w:color w:val="8A96A8"/>
          <w:sz w:val="18"/>
        </w:rPr>
        <w:t>[8:45 – 10:00]</w:t>
      </w:r>
    </w:p>
    <w:p>
      <w:pPr>
        <w:spacing w:after="160" w:line="324" w:lineRule="auto"/>
        <w:jc w:val="both"/>
      </w:pPr>
      <w:r>
        <w:rPr>
          <w:rFonts w:ascii="Calibri" w:hAnsi="Calibri"/>
          <w:i w:val="0"/>
          <w:sz w:val="24"/>
        </w:rPr>
        <w:t>Data tracking from 2021 through 2025 shows a staggering escalation in kidnapping events along the fringes of the Federal Capital Territory and into neighbouring Kogi and Nasarawa states. Conflict datasets confirm what residents already know from bitter experience: criminal syndicates actively and deliberately exploit the territorial seams between our states, crossing a boundary the instant local pursuit closes in, fully aware that separate police commands rarely coordinate pursuit across a state line in real time, and criminals have learned this administrative weakness far faster than our institutions have learned to close it. // This is exactly the seam a Regional Security Coalition, with authority that does not stop dead at an administrative boundary, is designed specifically, deliberately, and permanently to eliminate.</w:t>
      </w:r>
    </w:p>
    <w:p>
      <w:pPr>
        <w:spacing w:before="320" w:after="60"/>
      </w:pPr>
      <w:r>
        <w:rPr>
          <w:rFonts w:ascii="Calibri" w:hAnsi="Calibri"/>
          <w:b/>
          <w:color w:val="1F2A44"/>
          <w:sz w:val="29"/>
        </w:rPr>
        <w:t>SLIDE 9: CASE STUDY: BENUE AND PLATEAU COMMUNAL VIOLENCE</w:t>
      </w:r>
    </w:p>
    <w:p>
      <w:pPr>
        <w:spacing w:after="20"/>
      </w:pPr>
      <w:r>
        <w:rPr>
          <w:b/>
          <w:color w:val="4BACC6"/>
          <w:sz w:val="19"/>
        </w:rPr>
        <w:t>[SLIDE 9]</w:t>
      </w:r>
    </w:p>
    <w:p>
      <w:pPr>
        <w:spacing w:after="100"/>
      </w:pPr>
      <w:r>
        <w:rPr>
          <w:i/>
          <w:color w:val="8A96A8"/>
          <w:sz w:val="18"/>
        </w:rPr>
        <w:t>[10:00 – 11:00]</w:t>
      </w:r>
    </w:p>
    <w:p>
      <w:pPr>
        <w:spacing w:after="160" w:line="324" w:lineRule="auto"/>
        <w:jc w:val="both"/>
      </w:pPr>
      <w:r>
        <w:rPr>
          <w:rFonts w:ascii="Calibri" w:hAnsi="Calibri"/>
          <w:i w:val="0"/>
          <w:sz w:val="24"/>
        </w:rPr>
        <w:t>Recurrent communal violence in rural Benue and Plateau states through late 2025 and into early 2026 demonstrated the same underlying pattern we have now observed repeatedly across this region. // Without locally embedded early-warning mechanisms, our military intervention remains purely reactive — arriving only after communities have already been displaced, farmland already abandoned mid-season, and local economies already disrupted for months at a stretch. Every one of these incidents shares a common signature: a dangerous lag between the very first sign of tension and any authority actually capable of acting on it.</w:t>
      </w:r>
    </w:p>
    <w:p>
      <w:pPr>
        <w:spacing w:before="320" w:after="60"/>
      </w:pPr>
      <w:r>
        <w:rPr>
          <w:rFonts w:ascii="Calibri" w:hAnsi="Calibri"/>
          <w:b/>
          <w:color w:val="1F2A44"/>
          <w:sz w:val="29"/>
        </w:rPr>
        <w:t>SLIDE 10: THE STRUCTURAL FAILURE OF CENTRALIZED ARCHITECTURE</w:t>
      </w:r>
    </w:p>
    <w:p>
      <w:pPr>
        <w:spacing w:after="20"/>
      </w:pPr>
      <w:r>
        <w:rPr>
          <w:b/>
          <w:color w:val="4BACC6"/>
          <w:sz w:val="19"/>
        </w:rPr>
        <w:t>[SLIDE 10]</w:t>
      </w:r>
    </w:p>
    <w:p>
      <w:pPr>
        <w:spacing w:after="100"/>
      </w:pPr>
      <w:r>
        <w:rPr>
          <w:i/>
          <w:color w:val="8A96A8"/>
          <w:sz w:val="18"/>
        </w:rPr>
        <w:t>[11:00 – 12:15]</w:t>
      </w:r>
    </w:p>
    <w:p>
      <w:pPr>
        <w:spacing w:after="160" w:line="324" w:lineRule="auto"/>
        <w:jc w:val="both"/>
      </w:pPr>
      <w:r>
        <w:rPr>
          <w:rFonts w:ascii="Calibri" w:hAnsi="Calibri"/>
          <w:i w:val="0"/>
          <w:sz w:val="24"/>
        </w:rPr>
        <w:t>Here, then, is my central diagnosis, stated as plainly as I can state it. Administering law enforcement for a geographically diverse nation of over two hundred million people, exclusively from a central command in Abuja, is structurally unsustainable, regardless of how much good will or good intention sits behind that command. // Under our 1999 Constitution, executive governors are designated chief security officers of their states, yet they hold no direct constitutional authority to command federal law enforcement assets during an active emergency. That is administrative paralysis by design, not by accident — leaders held fully accountable, politically, for outcomes they possess no tactical power to shape, an arrangement that would strike most of us as plainly unreasonable in any other area of public administration, and one we should not continue to accept quietly in this one.</w:t>
      </w:r>
    </w:p>
    <w:p>
      <w:pPr>
        <w:spacing w:before="320" w:after="60"/>
      </w:pPr>
      <w:r>
        <w:rPr>
          <w:rFonts w:ascii="Calibri" w:hAnsi="Calibri"/>
          <w:b/>
          <w:color w:val="1F2A44"/>
          <w:sz w:val="29"/>
        </w:rPr>
        <w:t>SLIDE 11: FIVE STRUCTURAL PATHOLOGIES</w:t>
      </w:r>
    </w:p>
    <w:p>
      <w:pPr>
        <w:spacing w:after="20"/>
      </w:pPr>
      <w:r>
        <w:rPr>
          <w:b/>
          <w:color w:val="4BACC6"/>
          <w:sz w:val="19"/>
        </w:rPr>
        <w:t>[SLIDE 11]</w:t>
      </w:r>
    </w:p>
    <w:p>
      <w:pPr>
        <w:spacing w:after="100"/>
      </w:pPr>
      <w:r>
        <w:rPr>
          <w:i/>
          <w:color w:val="8A96A8"/>
          <w:sz w:val="18"/>
        </w:rPr>
        <w:t>[12:15 – 13:30]</w:t>
      </w:r>
    </w:p>
    <w:p>
      <w:pPr>
        <w:spacing w:after="160" w:line="324" w:lineRule="auto"/>
        <w:jc w:val="both"/>
      </w:pPr>
      <w:r>
        <w:rPr>
          <w:rFonts w:ascii="Calibri" w:hAnsi="Calibri"/>
          <w:i w:val="0"/>
          <w:sz w:val="24"/>
        </w:rPr>
        <w:t>This centralized overreach produces five specific pathologies, and I want to name every one precisely, because a diagnosis this specific demands a cure equally specific. First, fragmented inter-agency coordination. Second, a severe deficit in localized intelligence integration. Third, critical equipment shortages in our rural stations. Fourth, weak prosecutorial efficacy for arrested bandits, too often released for lack of a properly preserved evidence chain that a distant command never took the time to secure. // And fifth, a siloed institutional culture among our federal agencies, each protecting its own turf rather than sharing one common operating picture. By locking local actors out of formal command structures, the state effectively detaches policing from the very citizens it is sworn to protect — and criminal networks exploit that vacuum aggressively, every single day, and they will continue to do so for as long as the vacuum itself remains unaddressed.</w:t>
      </w:r>
    </w:p>
    <w:p>
      <w:pPr>
        <w:spacing w:before="320" w:after="60"/>
      </w:pPr>
      <w:r>
        <w:rPr>
          <w:rFonts w:ascii="Calibri" w:hAnsi="Calibri"/>
          <w:b/>
          <w:color w:val="1F2A44"/>
          <w:sz w:val="29"/>
        </w:rPr>
        <w:t>SLIDE 12: CONCEPTUALIZING DEVOLUTION</w:t>
      </w:r>
    </w:p>
    <w:p>
      <w:pPr>
        <w:spacing w:after="20"/>
      </w:pPr>
      <w:r>
        <w:rPr>
          <w:b/>
          <w:color w:val="4BACC6"/>
          <w:sz w:val="19"/>
        </w:rPr>
        <w:t>[SLIDE 12]</w:t>
      </w:r>
    </w:p>
    <w:p>
      <w:pPr>
        <w:spacing w:after="100"/>
      </w:pPr>
      <w:r>
        <w:rPr>
          <w:i/>
          <w:color w:val="8A96A8"/>
          <w:sz w:val="18"/>
        </w:rPr>
        <w:t>[13:30 – 14:30]</w:t>
      </w:r>
    </w:p>
    <w:p>
      <w:pPr>
        <w:spacing w:after="160" w:line="324" w:lineRule="auto"/>
        <w:jc w:val="both"/>
      </w:pPr>
      <w:r>
        <w:rPr>
          <w:rFonts w:ascii="Calibri" w:hAnsi="Calibri"/>
          <w:i w:val="0"/>
          <w:sz w:val="24"/>
        </w:rPr>
        <w:t>The structural alternative to this centralized failure is systematic devolution — redefining policing not as an elite federal monopoly, but as a collaborative, multi-tiered civic responsibility shared across every level of government and community. Grounded in Routine Activity Theory, this model holds that crime occurs when a motivated offender meets a suitable target in the absence of a capable guardian. // Devolution simply places that capable guardian directly within the community, exactly where the offender actually operates, rather than several bureaucratic layers and several hours of travel time away from where the crime is actually happening, rather than several administrative layers, and several hours of travel time, away from where the crime is unfolding in real time.</w:t>
      </w:r>
    </w:p>
    <w:p>
      <w:pPr>
        <w:spacing w:before="320" w:after="60"/>
      </w:pPr>
      <w:r>
        <w:rPr>
          <w:rFonts w:ascii="Calibri" w:hAnsi="Calibri"/>
          <w:b/>
          <w:color w:val="1F2A44"/>
          <w:sz w:val="29"/>
        </w:rPr>
        <w:t>SLIDE 13: THE THREE-TIER FRAMEWORK</w:t>
      </w:r>
    </w:p>
    <w:p>
      <w:pPr>
        <w:spacing w:after="20"/>
      </w:pPr>
      <w:r>
        <w:rPr>
          <w:b/>
          <w:color w:val="4BACC6"/>
          <w:sz w:val="19"/>
        </w:rPr>
        <w:t>[SLIDE 13]</w:t>
      </w:r>
    </w:p>
    <w:p>
      <w:pPr>
        <w:spacing w:after="100"/>
      </w:pPr>
      <w:r>
        <w:rPr>
          <w:i/>
          <w:color w:val="8A96A8"/>
          <w:sz w:val="18"/>
        </w:rPr>
        <w:t>[14:30 – 15:45]</w:t>
      </w:r>
    </w:p>
    <w:p>
      <w:pPr>
        <w:spacing w:after="160" w:line="324" w:lineRule="auto"/>
        <w:jc w:val="both"/>
      </w:pPr>
      <w:r>
        <w:rPr>
          <w:rFonts w:ascii="Calibri" w:hAnsi="Calibri"/>
          <w:i w:val="0"/>
          <w:sz w:val="24"/>
        </w:rPr>
        <w:t>Let me show you precisely how this breaks down into three concrete, distinct tiers. The Regional tier harmonizes legislative policy, data fusion, and trans-border rapid response, anchored by a Regional Data Fusion Centre and heavy airborne drone grids covering the entire zone. The Local Government tier administers funding, multi-agency deployment, and infrastructure security, through LGA Command Hubs and biometric rural profiling systems. // And the Community tier delivers human-source intelligence and grassroots dispute mediation, through mobile intrusion-detection tools placed in ordinary hands and Vigilante Group foot patrols that already know every footpath. Three tiers, three distinct mandates, and one single, integrated, mutually accountable system — not three separate initiatives competing for the same credit or the same limited budget line.</w:t>
      </w:r>
    </w:p>
    <w:p>
      <w:pPr>
        <w:spacing w:before="320" w:after="60"/>
      </w:pPr>
      <w:r>
        <w:rPr>
          <w:rFonts w:ascii="Calibri" w:hAnsi="Calibri"/>
          <w:b/>
          <w:color w:val="1F2A44"/>
          <w:sz w:val="29"/>
        </w:rPr>
        <w:t>SLIDE 14: TIER ONE: THE REGIONAL SECURITY COALITION</w:t>
      </w:r>
    </w:p>
    <w:p>
      <w:pPr>
        <w:spacing w:after="20"/>
      </w:pPr>
      <w:r>
        <w:rPr>
          <w:b/>
          <w:color w:val="4BACC6"/>
          <w:sz w:val="19"/>
        </w:rPr>
        <w:t>[SLIDE 14]</w:t>
      </w:r>
    </w:p>
    <w:p>
      <w:pPr>
        <w:spacing w:after="100"/>
      </w:pPr>
      <w:r>
        <w:rPr>
          <w:i/>
          <w:color w:val="8A96A8"/>
          <w:sz w:val="18"/>
        </w:rPr>
        <w:t>[15:45 – 16:45]</w:t>
      </w:r>
    </w:p>
    <w:p>
      <w:pPr>
        <w:spacing w:after="160" w:line="324" w:lineRule="auto"/>
        <w:jc w:val="both"/>
      </w:pPr>
      <w:r>
        <w:rPr>
          <w:rFonts w:ascii="Calibri" w:hAnsi="Calibri"/>
          <w:i w:val="0"/>
          <w:sz w:val="24"/>
        </w:rPr>
        <w:t>The Regional tier is powered by the North-Central Development Commission's one hundred and forty billion naira budget for the 2026 fiscal year, formalizing a genuine Joint Security Command across all six of our states and the Federal Capital Territory. // This regional entity bypasses state-border limitations entirely, so that no criminal actor can simply escape jurisdiction by crossing from Nasarawa into the FCT, or from Niger into Kwara, the moment a pursuit gets uncomfortably close to catching them in the act — a jurisdictional trick that a genuinely regional command structure simply removes from their playbook.</w:t>
      </w:r>
    </w:p>
    <w:p>
      <w:pPr>
        <w:spacing w:before="320" w:after="60"/>
      </w:pPr>
      <w:r>
        <w:rPr>
          <w:rFonts w:ascii="Calibri" w:hAnsi="Calibri"/>
          <w:b/>
          <w:color w:val="1F2A44"/>
          <w:sz w:val="29"/>
        </w:rPr>
        <w:t>SLIDE 15: THE REGIONAL DATA FUSION CENTRE AND HALE DRONES</w:t>
      </w:r>
    </w:p>
    <w:p>
      <w:pPr>
        <w:spacing w:after="20"/>
      </w:pPr>
      <w:r>
        <w:rPr>
          <w:b/>
          <w:color w:val="4BACC6"/>
          <w:sz w:val="19"/>
        </w:rPr>
        <w:t>[SLIDE 15]</w:t>
      </w:r>
    </w:p>
    <w:p>
      <w:pPr>
        <w:spacing w:after="100"/>
      </w:pPr>
      <w:r>
        <w:rPr>
          <w:i/>
          <w:color w:val="8A96A8"/>
          <w:sz w:val="18"/>
        </w:rPr>
        <w:t>[16:45 – 17:45]</w:t>
      </w:r>
    </w:p>
    <w:p>
      <w:pPr>
        <w:spacing w:after="160" w:line="324" w:lineRule="auto"/>
        <w:jc w:val="both"/>
      </w:pPr>
      <w:r>
        <w:rPr>
          <w:rFonts w:ascii="Calibri" w:hAnsi="Calibri"/>
          <w:i w:val="0"/>
          <w:sz w:val="24"/>
        </w:rPr>
        <w:t>Its operational anchor is the Regional Security Data Fusion Centre, integrating real-time satellite imagery, geospatial mapping, and automated cellular metadata tracking across the entire zone, twenty-four hours a day. // The coalition also procures and deploys high-altitude, long-endurance surveillance drones, providing continuous thermal imaging coverage of known hideouts in the forests bordering Niger, Kaduna, and the FCT, relaying actionable coordinates directly to multi-agency strike teams in minutes, not days, closing a response gap that has, in some of the incidents I cited earlier, historically run into weeks rather than the minutes this system is built to deliver.</w:t>
      </w:r>
    </w:p>
    <w:p>
      <w:pPr>
        <w:spacing w:before="320" w:after="60"/>
      </w:pPr>
      <w:r>
        <w:rPr>
          <w:rFonts w:ascii="Calibri" w:hAnsi="Calibri"/>
          <w:b/>
          <w:color w:val="1F2A44"/>
          <w:sz w:val="29"/>
        </w:rPr>
        <w:t>SLIDE 16: TIER TWO: LOCAL GOVERNMENT AREA COMMAND HUBS</w:t>
      </w:r>
    </w:p>
    <w:p>
      <w:pPr>
        <w:spacing w:after="20"/>
      </w:pPr>
      <w:r>
        <w:rPr>
          <w:b/>
          <w:color w:val="4BACC6"/>
          <w:sz w:val="19"/>
        </w:rPr>
        <w:t>[SLIDE 16]</w:t>
      </w:r>
    </w:p>
    <w:p>
      <w:pPr>
        <w:spacing w:after="100"/>
      </w:pPr>
      <w:r>
        <w:rPr>
          <w:i/>
          <w:color w:val="8A96A8"/>
          <w:sz w:val="18"/>
        </w:rPr>
        <w:t>[17:45 – 18:45]</w:t>
      </w:r>
    </w:p>
    <w:p>
      <w:pPr>
        <w:spacing w:after="160" w:line="324" w:lineRule="auto"/>
        <w:jc w:val="both"/>
      </w:pPr>
      <w:r>
        <w:rPr>
          <w:rFonts w:ascii="Calibri" w:hAnsi="Calibri"/>
          <w:i w:val="0"/>
          <w:sz w:val="24"/>
        </w:rPr>
        <w:t>The second tier decentralizes operations down to all one hundred and twenty-one Local Government Areas spanning our zone, without exception. Every LGA establishes a functional Local Security Advisory Council, chaired by the democratically elected Council Chairman, // formally bringing together divisional police officers, NSCDC commanders, representatives of the Nigerian Army, and local intelligence officers around one single coordinating table, meeting on a fixed, published schedule rather than only convening after the next crisis has already occurred, by which point the council is reviewing a failure rather than preventing one, which is precisely the reactive posture this entire framework is designed to move us away from.</w:t>
      </w:r>
    </w:p>
    <w:p>
      <w:pPr>
        <w:spacing w:before="320" w:after="60"/>
      </w:pPr>
      <w:r>
        <w:rPr>
          <w:rFonts w:ascii="Calibri" w:hAnsi="Calibri"/>
          <w:b/>
          <w:color w:val="1F2A44"/>
          <w:sz w:val="29"/>
        </w:rPr>
        <w:t>SLIDE 17: BIOMETRIC PROFILING AND THE FIFTEEN-MINUTE STANDARD</w:t>
      </w:r>
    </w:p>
    <w:p>
      <w:pPr>
        <w:spacing w:after="20"/>
      </w:pPr>
      <w:r>
        <w:rPr>
          <w:b/>
          <w:color w:val="4BACC6"/>
          <w:sz w:val="19"/>
        </w:rPr>
        <w:t>[SLIDE 17]</w:t>
      </w:r>
    </w:p>
    <w:p>
      <w:pPr>
        <w:spacing w:after="100"/>
      </w:pPr>
      <w:r>
        <w:rPr>
          <w:i/>
          <w:color w:val="8A96A8"/>
          <w:sz w:val="18"/>
        </w:rPr>
        <w:t>[18:45 – 19:45]</w:t>
      </w:r>
    </w:p>
    <w:p>
      <w:pPr>
        <w:spacing w:after="160" w:line="324" w:lineRule="auto"/>
        <w:jc w:val="both"/>
      </w:pPr>
      <w:r>
        <w:rPr>
          <w:rFonts w:ascii="Calibri" w:hAnsi="Calibri"/>
          <w:i w:val="0"/>
          <w:sz w:val="24"/>
        </w:rPr>
        <w:t>The critical technical mandate of the LGA Command Hub is a comprehensive Biometric Rural Profiling System, registering rural residents, migratory pastoralists, and commercial transport operators, eliminating the anonymity that modern insurgent networks depend upon to move undetected. // The Council also administers rapid-response units equipped with ruggedized vehicles and encrypted radios, so that any alert generated within a community is met with armed enforcement inside a maximum fifteen-minute window — a specific, measurable operational benchmark against which every hub should be held accountable, not a vague aspiration written into a report and then forgotten.</w:t>
      </w:r>
    </w:p>
    <w:p>
      <w:pPr>
        <w:spacing w:before="320" w:after="60"/>
      </w:pPr>
      <w:r>
        <w:rPr>
          <w:rFonts w:ascii="Calibri" w:hAnsi="Calibri"/>
          <w:b/>
          <w:color w:val="1F2A44"/>
          <w:sz w:val="29"/>
        </w:rPr>
        <w:t>SLIDE 18: TIER THREE: GRASSROOTS COMMUNITY-LED INTELLIGENCE</w:t>
      </w:r>
    </w:p>
    <w:p>
      <w:pPr>
        <w:spacing w:after="20"/>
      </w:pPr>
      <w:r>
        <w:rPr>
          <w:b/>
          <w:color w:val="4BACC6"/>
          <w:sz w:val="19"/>
        </w:rPr>
        <w:t>[SLIDE 18]</w:t>
      </w:r>
    </w:p>
    <w:p>
      <w:pPr>
        <w:spacing w:after="100"/>
      </w:pPr>
      <w:r>
        <w:rPr>
          <w:i/>
          <w:color w:val="8A96A8"/>
          <w:sz w:val="18"/>
        </w:rPr>
        <w:t>[19:45 – 20:45]</w:t>
      </w:r>
    </w:p>
    <w:p>
      <w:pPr>
        <w:spacing w:after="160" w:line="324" w:lineRule="auto"/>
        <w:jc w:val="both"/>
      </w:pPr>
      <w:r>
        <w:rPr>
          <w:rFonts w:ascii="Calibri" w:hAnsi="Calibri"/>
          <w:i w:val="0"/>
          <w:sz w:val="24"/>
        </w:rPr>
        <w:t>The foundational tier of this architecture shifts security from an elite state function into an active grassroots civic duty, owned by the people who live with the consequences every day. No modern security infrastructure succeeds without the explicit cooperation and trust of the population living in the vulnerable spaces themselves. // This tier formally and legally integrates neighbourhood watch organizations, certified hunters, and the Vigilante Group of Nigeria into our national security matrix — groups that, in many of our communities, are already doing this work quietly and without pay — operating under strict formal oversight from the very first day of registration, not as an afterthought added later once the informal arrangement has already proven itself useful and, by then, unregulated.</w:t>
      </w:r>
    </w:p>
    <w:p>
      <w:pPr>
        <w:spacing w:before="320" w:after="60"/>
      </w:pPr>
      <w:r>
        <w:rPr>
          <w:rFonts w:ascii="Calibri" w:hAnsi="Calibri"/>
          <w:b/>
          <w:color w:val="1F2A44"/>
          <w:sz w:val="29"/>
        </w:rPr>
        <w:t>SLIDE 19: M-PIDS: EVERY CITIZEN AN INTELLIGENCE NODE</w:t>
      </w:r>
    </w:p>
    <w:p>
      <w:pPr>
        <w:spacing w:after="20"/>
      </w:pPr>
      <w:r>
        <w:rPr>
          <w:b/>
          <w:color w:val="4BACC6"/>
          <w:sz w:val="19"/>
        </w:rPr>
        <w:t>[SLIDE 19]</w:t>
      </w:r>
    </w:p>
    <w:p>
      <w:pPr>
        <w:spacing w:after="100"/>
      </w:pPr>
      <w:r>
        <w:rPr>
          <w:i/>
          <w:color w:val="8A96A8"/>
          <w:sz w:val="18"/>
        </w:rPr>
        <w:t>[20:45 – 21:45]</w:t>
      </w:r>
    </w:p>
    <w:p>
      <w:pPr>
        <w:spacing w:after="160" w:line="324" w:lineRule="auto"/>
        <w:jc w:val="both"/>
      </w:pPr>
      <w:r>
        <w:rPr>
          <w:rFonts w:ascii="Calibri" w:hAnsi="Calibri"/>
          <w:i w:val="0"/>
          <w:sz w:val="24"/>
        </w:rPr>
        <w:t>To maximize surveillance efficiency without requiring heavy hardware investment, communities deploy the Mobile-Based Physical Intrusion Detection System — standard smartphones distributed to trained community leaders, forest guards, and local farmers, running specialized, offline-capable applications. // These grassroots operators instantly capture and transmit geotagged text, audio, or photographic evidence of suspicious movement or illegal weapons camps directly to their LGA Command Hub. Every citizen becomes a protected intelligence node in this system, not a passive bystander waiting helplessly for assistance that may arrive far too late to matter.</w:t>
      </w:r>
    </w:p>
    <w:p>
      <w:pPr>
        <w:spacing w:before="320" w:after="60"/>
      </w:pPr>
      <w:r>
        <w:rPr>
          <w:rFonts w:ascii="Calibri" w:hAnsi="Calibri"/>
          <w:b/>
          <w:color w:val="1F2A44"/>
          <w:sz w:val="29"/>
        </w:rPr>
        <w:t>SLIDE 20: INTEGRATING TRADITIONAL AND RELIGIOUS LEADERSHIP</w:t>
      </w:r>
    </w:p>
    <w:p>
      <w:pPr>
        <w:spacing w:after="20"/>
      </w:pPr>
      <w:r>
        <w:rPr>
          <w:b/>
          <w:color w:val="4BACC6"/>
          <w:sz w:val="19"/>
        </w:rPr>
        <w:t>[SLIDE 20]</w:t>
      </w:r>
    </w:p>
    <w:p>
      <w:pPr>
        <w:spacing w:after="100"/>
      </w:pPr>
      <w:r>
        <w:rPr>
          <w:i/>
          <w:color w:val="8A96A8"/>
          <w:sz w:val="18"/>
        </w:rPr>
        <w:t>[21:45 – 22:45]</w:t>
      </w:r>
    </w:p>
    <w:p>
      <w:pPr>
        <w:spacing w:after="160" w:line="324" w:lineRule="auto"/>
        <w:jc w:val="both"/>
      </w:pPr>
      <w:r>
        <w:rPr>
          <w:rFonts w:ascii="Calibri" w:hAnsi="Calibri"/>
          <w:i w:val="0"/>
          <w:sz w:val="24"/>
        </w:rPr>
        <w:t>To bridge the gap between formal law enforcement and local populations, this framework deliberately integrates traditional institutions and religious authorities into formal Early Warning and Response systems. Our traditional rulers — from first-class emirs to paramount community chiefs — carry immense socio-cultural legitimacy and local intelligence networks that no outside agency can ever fully replicate. // Mandatory, regularly scheduled town hall security dialogues give them a safe, structured platform to flag rising communal tension, identify radicalizing elements early, and mediate escalating farmer-herder friction well before it degrades into the kind of open violence that, once it starts, takes years rather than weeks to fully heal.</w:t>
      </w:r>
    </w:p>
    <w:p>
      <w:pPr>
        <w:spacing w:before="320" w:after="60"/>
      </w:pPr>
      <w:r>
        <w:rPr>
          <w:rFonts w:ascii="Calibri" w:hAnsi="Calibri"/>
          <w:b/>
          <w:color w:val="1F2A44"/>
          <w:sz w:val="29"/>
        </w:rPr>
        <w:t>SLIDE 21: LOW-COST SMART SURVEILLANCE TOOLS</w:t>
      </w:r>
    </w:p>
    <w:p>
      <w:pPr>
        <w:spacing w:after="20"/>
      </w:pPr>
      <w:r>
        <w:rPr>
          <w:b/>
          <w:color w:val="4BACC6"/>
          <w:sz w:val="19"/>
        </w:rPr>
        <w:t>[SLIDE 21]</w:t>
      </w:r>
    </w:p>
    <w:p>
      <w:pPr>
        <w:spacing w:after="100"/>
      </w:pPr>
      <w:r>
        <w:rPr>
          <w:i/>
          <w:color w:val="8A96A8"/>
          <w:sz w:val="18"/>
        </w:rPr>
        <w:t>[22:45 – 23:30]</w:t>
      </w:r>
    </w:p>
    <w:p>
      <w:pPr>
        <w:spacing w:after="160" w:line="324" w:lineRule="auto"/>
        <w:jc w:val="both"/>
      </w:pPr>
      <w:r>
        <w:rPr>
          <w:rFonts w:ascii="Calibri" w:hAnsi="Calibri"/>
          <w:i w:val="0"/>
          <w:sz w:val="24"/>
        </w:rPr>
        <w:t>A common objection to reform at this scale is cost, and I want to address that objection directly rather than dismiss it, because I do not want this framework written off as unaffordable idealism. This methodology adopts a hybrid technology model: the Regional Coalition funds the advanced drone grids and satellite integration, the single most expensive layer, // while the Local Government and Community tiers use commercial off-the-shelf equipment requiring minimal maintenance and only basic operator training. Affordability is designed into this system from its very first draft, not bolted on as an afterthought once a budget runs short halfway through implementation, which is precisely how so many previous well-intentioned security reforms have quietly stalled.</w:t>
      </w:r>
    </w:p>
    <w:p>
      <w:pPr>
        <w:spacing w:before="320" w:after="60"/>
      </w:pPr>
      <w:r>
        <w:rPr>
          <w:rFonts w:ascii="Calibri" w:hAnsi="Calibri"/>
          <w:b/>
          <w:color w:val="1F2A44"/>
          <w:sz w:val="29"/>
        </w:rPr>
        <w:t>SLIDE 22: LORA, ACOUSTIC SENSORS, AND PREDICTIVE AI</w:t>
      </w:r>
    </w:p>
    <w:p>
      <w:pPr>
        <w:spacing w:after="20"/>
      </w:pPr>
      <w:r>
        <w:rPr>
          <w:b/>
          <w:color w:val="4BACC6"/>
          <w:sz w:val="19"/>
        </w:rPr>
        <w:t>[SLIDE 22]</w:t>
      </w:r>
    </w:p>
    <w:p>
      <w:pPr>
        <w:spacing w:after="100"/>
      </w:pPr>
      <w:r>
        <w:rPr>
          <w:i/>
          <w:color w:val="8A96A8"/>
          <w:sz w:val="18"/>
        </w:rPr>
        <w:t>[23:30 – 24:30]</w:t>
      </w:r>
    </w:p>
    <w:p>
      <w:pPr>
        <w:spacing w:after="160" w:line="324" w:lineRule="auto"/>
        <w:jc w:val="both"/>
      </w:pPr>
      <w:r>
        <w:rPr>
          <w:rFonts w:ascii="Calibri" w:hAnsi="Calibri"/>
          <w:i w:val="0"/>
          <w:sz w:val="24"/>
        </w:rPr>
        <w:t>Solar-powered mesh network cameras sit at critical rural transit choke points. Long-range LoRa communication devices operate entirely independently of any cellular network, which matters enormously in terrain where towers simply do not reach. Automated acoustic gunshot detection sensors sit embedded quietly in our highest-risk agricultural belts. // Feeding all of these diverse data streams into predictive artificial intelligence at the LGA hubs lets law enforcement anticipate criminal trajectories and disrupt kidnapping operations while they are still being planned, rather than merely responding once the harm has already been done and the perpetrators have already dispersed into the terrain they know better than we do.</w:t>
      </w:r>
    </w:p>
    <w:p>
      <w:pPr>
        <w:spacing w:before="320" w:after="60"/>
      </w:pPr>
      <w:r>
        <w:rPr>
          <w:rFonts w:ascii="Calibri" w:hAnsi="Calibri"/>
          <w:b/>
          <w:color w:val="1F2A44"/>
          <w:sz w:val="29"/>
        </w:rPr>
        <w:t>SLIDE 23: SAFEGUARDS AND THE RISK OF ABUSE</w:t>
      </w:r>
    </w:p>
    <w:p>
      <w:pPr>
        <w:spacing w:after="20"/>
      </w:pPr>
      <w:r>
        <w:rPr>
          <w:b/>
          <w:color w:val="4BACC6"/>
          <w:sz w:val="19"/>
        </w:rPr>
        <w:t>[SLIDE 23]</w:t>
      </w:r>
    </w:p>
    <w:p>
      <w:pPr>
        <w:spacing w:after="100"/>
      </w:pPr>
      <w:r>
        <w:rPr>
          <w:i/>
          <w:color w:val="8A96A8"/>
          <w:sz w:val="18"/>
        </w:rPr>
        <w:t>[24:30 – 25:30]</w:t>
      </w:r>
    </w:p>
    <w:p>
      <w:pPr>
        <w:spacing w:after="160" w:line="324" w:lineRule="auto"/>
        <w:jc w:val="both"/>
      </w:pPr>
      <w:r>
        <w:rPr>
          <w:rFonts w:ascii="Calibri" w:hAnsi="Calibri"/>
          <w:i w:val="0"/>
          <w:sz w:val="24"/>
        </w:rPr>
        <w:t>I will not pretend that devolving tactical control and empowering local vigilante groups is without genuine risk. Political weaponization by sub-national actors, extrajudicial excess, the fuelling of ethnic and partisan militias — these are legitimate, documented historical concerns, not hypothetical inventions of a sceptic. // That is precisely why this framework builds iron-clad accountability into every tier from the very first day. No local security formation may operate without formal registration, comprehensive vetting by the Department of State Services, and continuous training in human rights standards and civil liberties as an ongoing condition of continued operation, reviewed annually, not granted once and then quietly forgotten as budgets tighten and attention moves elsewhere.</w:t>
      </w:r>
    </w:p>
    <w:p>
      <w:pPr>
        <w:spacing w:before="320" w:after="60"/>
      </w:pPr>
      <w:r>
        <w:rPr>
          <w:rFonts w:ascii="Calibri" w:hAnsi="Calibri"/>
          <w:b/>
          <w:color w:val="1F2A44"/>
          <w:sz w:val="29"/>
        </w:rPr>
        <w:t>SLIDE 24: THE INDEPENDENT CIVILIAN OVERSIGHT BOARD</w:t>
      </w:r>
    </w:p>
    <w:p>
      <w:pPr>
        <w:spacing w:after="20"/>
      </w:pPr>
      <w:r>
        <w:rPr>
          <w:b/>
          <w:color w:val="4BACC6"/>
          <w:sz w:val="19"/>
        </w:rPr>
        <w:t>[SLIDE 24]</w:t>
      </w:r>
    </w:p>
    <w:p>
      <w:pPr>
        <w:spacing w:after="100"/>
      </w:pPr>
      <w:r>
        <w:rPr>
          <w:i/>
          <w:color w:val="8A96A8"/>
          <w:sz w:val="18"/>
        </w:rPr>
        <w:t>[25:30 – 26:30]</w:t>
      </w:r>
    </w:p>
    <w:p>
      <w:pPr>
        <w:spacing w:after="160" w:line="324" w:lineRule="auto"/>
        <w:jc w:val="both"/>
      </w:pPr>
      <w:r>
        <w:rPr>
          <w:rFonts w:ascii="Calibri" w:hAnsi="Calibri"/>
          <w:i w:val="0"/>
          <w:sz w:val="24"/>
        </w:rPr>
        <w:t>Every state within the coalition will establish an Independent Civilian Oversight Board, comprised of human rights attorneys, civil society leaders, and retired judicial officers of standing. // This board holds the statutory power to investigate community complaints, audit LGA security expenditure line by line, and recommend the immediate suspension or prosecution of any operative found guilty of misconduct — because decentralization only strengthens public safety if it does not, in the process, compromise the constitutional rights it exists to protect in the first place, and no security gain is worth that trade.</w:t>
      </w:r>
    </w:p>
    <w:p>
      <w:pPr>
        <w:spacing w:before="320" w:after="60"/>
      </w:pPr>
      <w:r>
        <w:rPr>
          <w:rFonts w:ascii="Calibri" w:hAnsi="Calibri"/>
          <w:b/>
          <w:color w:val="1F2A44"/>
          <w:sz w:val="29"/>
        </w:rPr>
        <w:t>SLIDE 25: IMPLEMENTATION: PHASE ONE — LEGAL ALIGNMENT</w:t>
      </w:r>
    </w:p>
    <w:p>
      <w:pPr>
        <w:spacing w:after="20"/>
      </w:pPr>
      <w:r>
        <w:rPr>
          <w:b/>
          <w:color w:val="4BACC6"/>
          <w:sz w:val="19"/>
        </w:rPr>
        <w:t>[SLIDE 25]</w:t>
      </w:r>
    </w:p>
    <w:p>
      <w:pPr>
        <w:spacing w:after="100"/>
      </w:pPr>
      <w:r>
        <w:rPr>
          <w:i/>
          <w:color w:val="8A96A8"/>
          <w:sz w:val="18"/>
        </w:rPr>
        <w:t>[26:30 – 27:15]</w:t>
      </w:r>
    </w:p>
    <w:p>
      <w:pPr>
        <w:spacing w:after="160" w:line="324" w:lineRule="auto"/>
        <w:jc w:val="both"/>
      </w:pPr>
      <w:r>
        <w:rPr>
          <w:rFonts w:ascii="Calibri" w:hAnsi="Calibri"/>
          <w:i w:val="0"/>
          <w:sz w:val="24"/>
        </w:rPr>
        <w:t>The transition to this architecture runs across three clear, sequential phases over a twelve-month horizon, and I want to be specific about each one so that nobody leaves this room saying the plan was vague. Phase One, months one through three, focuses on legal and constitutional alignment — // passing uniform sub-national legislation across every participating North Central state, built directly on the 2026 state-policing amendment bills already before the National Assembly, so that no single state moves ahead of, or lags behind, the others in a way that fragments this framework before it has even had a chance to prove itself.</w:t>
      </w:r>
    </w:p>
    <w:p>
      <w:pPr>
        <w:spacing w:before="320" w:after="60"/>
      </w:pPr>
      <w:r>
        <w:rPr>
          <w:rFonts w:ascii="Calibri" w:hAnsi="Calibri"/>
          <w:b/>
          <w:color w:val="1F2A44"/>
          <w:sz w:val="29"/>
        </w:rPr>
        <w:t>SLIDE 26: IMPLEMENTATION: PHASES TWO AND THREE</w:t>
      </w:r>
    </w:p>
    <w:p>
      <w:pPr>
        <w:spacing w:after="20"/>
      </w:pPr>
      <w:r>
        <w:rPr>
          <w:b/>
          <w:color w:val="4BACC6"/>
          <w:sz w:val="19"/>
        </w:rPr>
        <w:t>[SLIDE 26]</w:t>
      </w:r>
    </w:p>
    <w:p>
      <w:pPr>
        <w:spacing w:after="100"/>
      </w:pPr>
      <w:r>
        <w:rPr>
          <w:i/>
          <w:color w:val="8A96A8"/>
          <w:sz w:val="18"/>
        </w:rPr>
        <w:t>[27:15 – 28:00]</w:t>
      </w:r>
    </w:p>
    <w:p>
      <w:pPr>
        <w:spacing w:after="160" w:line="324" w:lineRule="auto"/>
        <w:jc w:val="both"/>
      </w:pPr>
      <w:r>
        <w:rPr>
          <w:rFonts w:ascii="Calibri" w:hAnsi="Calibri"/>
          <w:i w:val="0"/>
          <w:sz w:val="24"/>
        </w:rPr>
        <w:t>Phase Two, months four through eight, drives the operational launch — funding LGA command hubs through the NCDC's security allocation, training the first cohort of biometric registration officers, and deploying the M-PIDS surveillance grids to our highest-risk local government areas first. // Phase Three, months nine through twelve, achieves full integration, connecting every community network to the regional data fusion hubs and running comprehensive inter-agency field simulations before we formally declare the system operational.</w:t>
      </w:r>
    </w:p>
    <w:p>
      <w:pPr>
        <w:spacing w:before="320" w:after="60"/>
      </w:pPr>
      <w:r>
        <w:rPr>
          <w:rFonts w:ascii="Calibri" w:hAnsi="Calibri"/>
          <w:b/>
          <w:color w:val="1F2A44"/>
          <w:sz w:val="29"/>
        </w:rPr>
        <w:t>SLIDE 27: CONCLUSION: STRUCTURAL EVOLUTION</w:t>
      </w:r>
    </w:p>
    <w:p>
      <w:pPr>
        <w:spacing w:after="20"/>
      </w:pPr>
      <w:r>
        <w:rPr>
          <w:b/>
          <w:color w:val="4BACC6"/>
          <w:sz w:val="19"/>
        </w:rPr>
        <w:t>[SLIDE 27]</w:t>
      </w:r>
    </w:p>
    <w:p>
      <w:pPr>
        <w:spacing w:after="100"/>
      </w:pPr>
      <w:r>
        <w:rPr>
          <w:i/>
          <w:color w:val="8A96A8"/>
          <w:sz w:val="18"/>
        </w:rPr>
        <w:t>[28:00 – 29:00]</w:t>
      </w:r>
    </w:p>
    <w:p>
      <w:pPr>
        <w:spacing w:after="160" w:line="324" w:lineRule="auto"/>
        <w:jc w:val="both"/>
      </w:pPr>
      <w:r>
        <w:rPr>
          <w:rFonts w:ascii="Calibri" w:hAnsi="Calibri"/>
          <w:i w:val="0"/>
          <w:sz w:val="24"/>
        </w:rPr>
        <w:t>Ladies and gentlemen, the severe security challenges facing North Central Nigeria cannot be resolved through centralized military operations alone, however well-resourced or well-intentioned those operations may be. // True stability requires structural evolution — devolving control and embedding surveillance capability within our regional, local government, and grassroots tiers, together, and never pursued in isolation from one another as three unrelated initiatives competing for attention and funding.</w:t>
      </w:r>
    </w:p>
    <w:p>
      <w:pPr>
        <w:spacing w:before="320" w:after="60"/>
      </w:pPr>
      <w:r>
        <w:rPr>
          <w:rFonts w:ascii="Calibri" w:hAnsi="Calibri"/>
          <w:b/>
          <w:color w:val="1F2A44"/>
          <w:sz w:val="29"/>
        </w:rPr>
        <w:t>SLIDE 28: CLOSING: A CALL TO ACTION</w:t>
      </w:r>
    </w:p>
    <w:p>
      <w:pPr>
        <w:spacing w:after="20"/>
      </w:pPr>
      <w:r>
        <w:rPr>
          <w:b/>
          <w:color w:val="4BACC6"/>
          <w:sz w:val="19"/>
        </w:rPr>
        <w:t>[SLIDE 28]</w:t>
      </w:r>
    </w:p>
    <w:p>
      <w:pPr>
        <w:spacing w:after="100"/>
      </w:pPr>
      <w:r>
        <w:rPr>
          <w:i/>
          <w:color w:val="8A96A8"/>
          <w:sz w:val="18"/>
        </w:rPr>
        <w:t>[29:00 – 29:45]</w:t>
      </w:r>
    </w:p>
    <w:p>
      <w:pPr>
        <w:spacing w:after="160" w:line="324" w:lineRule="auto"/>
        <w:jc w:val="both"/>
      </w:pPr>
      <w:r>
        <w:rPr>
          <w:rFonts w:ascii="Calibri" w:hAnsi="Calibri"/>
          <w:i w:val="0"/>
          <w:sz w:val="24"/>
        </w:rPr>
        <w:t>This framework does not merely dismantle criminal networks, though it will do that too. // It restores governance legitimacy, and it secures a peaceful, prosperous future for the heart of our nation — provided we have the discipline to build all three tiers together, rather than reaching for only the easiest and most visible one.</w:t>
      </w:r>
    </w:p>
    <w:p>
      <w:pPr>
        <w:spacing w:before="320" w:after="60"/>
      </w:pPr>
      <w:r>
        <w:rPr>
          <w:rFonts w:ascii="Calibri" w:hAnsi="Calibri"/>
          <w:b/>
          <w:color w:val="1F2A44"/>
          <w:sz w:val="29"/>
        </w:rPr>
        <w:t>SLIDE 29: FINAL WORDS</w:t>
      </w:r>
    </w:p>
    <w:p>
      <w:pPr>
        <w:spacing w:after="20"/>
      </w:pPr>
      <w:r>
        <w:rPr>
          <w:b/>
          <w:color w:val="4BACC6"/>
          <w:sz w:val="19"/>
        </w:rPr>
        <w:t>[SLIDE 29]</w:t>
      </w:r>
    </w:p>
    <w:p>
      <w:pPr>
        <w:spacing w:after="100"/>
      </w:pPr>
      <w:r>
        <w:rPr>
          <w:i/>
          <w:color w:val="8A96A8"/>
          <w:sz w:val="18"/>
        </w:rPr>
        <w:t>[29:45 – 30:00]</w:t>
      </w:r>
    </w:p>
    <w:p>
      <w:pPr>
        <w:spacing w:after="160" w:line="324" w:lineRule="auto"/>
        <w:jc w:val="both"/>
      </w:pPr>
      <w:r>
        <w:rPr>
          <w:rFonts w:ascii="Calibri" w:hAnsi="Calibri"/>
          <w:i w:val="0"/>
          <w:sz w:val="24"/>
        </w:rPr>
        <w:t>The three tiers are defined. The technology required exists today, off the shelf, at a cost this region can sustain. The constitutional pathway is already before the National Assembly, awaiting only our collective will to act. // I ask for that will, starting now, from every governor, every council chairman, and every traditional ruler in this room — and I commit, on my own part, to supporting the technical and advisory work needed to see it through. Thank you.</w:t>
      </w:r>
    </w:p>
    <w:p>
      <w:pPr>
        <w:spacing w:before="320" w:after="60"/>
      </w:pPr>
      <w:r>
        <w:rPr>
          <w:rFonts w:ascii="Calibri" w:hAnsi="Calibri"/>
          <w:b/>
          <w:color w:val="1F2A44"/>
          <w:sz w:val="29"/>
        </w:rPr>
        <w:t>SLIDE 30: REFERENCES</w:t>
      </w:r>
    </w:p>
    <w:p>
      <w:pPr>
        <w:spacing w:after="20"/>
      </w:pPr>
      <w:r>
        <w:rPr>
          <w:b/>
          <w:color w:val="4BACC6"/>
          <w:sz w:val="19"/>
        </w:rPr>
        <w:t>[SLIDE 30]</w:t>
      </w:r>
    </w:p>
    <w:p>
      <w:pPr>
        <w:spacing w:after="100"/>
      </w:pPr>
      <w:r>
        <w:rPr>
          <w:i/>
          <w:color w:val="8A96A8"/>
          <w:sz w:val="18"/>
        </w:rPr>
        <w:t>[30:00]</w:t>
      </w:r>
    </w:p>
    <w:p>
      <w:pPr>
        <w:spacing w:after="160" w:line="324" w:lineRule="auto"/>
        <w:jc w:val="both"/>
      </w:pPr>
      <w:r>
        <w:rPr>
          <w:rFonts w:ascii="Calibri" w:hAnsi="Calibri"/>
          <w:i w:val="0"/>
          <w:sz w:val="24"/>
        </w:rPr>
        <w:t>The complete source list behind this address is displayed now, and reproduced in full in your printed programme. Thank you again, sincerely, for your time this morning.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