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 COST OF BANDITRY AND KIDNAPPING IN NORTH-CENTRAL NIGERIA</w:t>
      </w:r>
    </w:p>
    <w:p>
      <w:r>
        <w:rPr>
          <w:b/>
          <w:sz w:val="26"/>
        </w:rPr>
        <w:t>1 March – 10 September 2026 — Verified State-by-State Breakdown</w:t>
      </w:r>
    </w:p>
    <w:p>
      <w:r>
        <w:rPr>
          <w:i/>
          <w:sz w:val="20"/>
        </w:rPr>
        <w:t>For AVM Morgan — North-Central Security Presentation. Confirmed incidents cross-checked against HumAngle, Reuters, Premium Times, Daily Trust and SBM Intelligence. Full 7-unit regional totals are ACLED/HumAngle-modeled estimates, clearly labeled where not independently confirmed by name-level reporting.</w:t>
      </w:r>
    </w:p>
    <w:p/>
    <w:p>
      <w:pPr>
        <w:pStyle w:val="Heading2"/>
      </w:pPr>
      <w:r>
        <w:rPr>
          <w:sz w:val="26"/>
        </w:rPr>
        <w:t>1. Confirmed Named Incidents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52"/>
        <w:gridCol w:w="1296"/>
        <w:gridCol w:w="3744"/>
        <w:gridCol w:w="1008"/>
        <w:gridCol w:w="1584"/>
        <w:gridCol w:w="1440"/>
        <w:gridCol w:w="2016"/>
      </w:tblGrid>
      <w:tr>
        <w:tc>
          <w:tcPr>
            <w:tcW w:type="dxa" w:w="1234"/>
            <w:shd w:val="clear" w:color="auto" w:fill="1B3A2B"/>
          </w:tcPr>
          <w:p>
            <w:pPr>
              <w:jc w:val="center"/>
            </w:pPr>
            <w:r>
              <w:rPr>
                <w:b/>
                <w:color w:val="FFFFFF"/>
                <w:sz w:val="21"/>
              </w:rPr>
              <w:t>State</w:t>
            </w:r>
          </w:p>
        </w:tc>
        <w:tc>
          <w:tcPr>
            <w:tcW w:type="dxa" w:w="1234"/>
            <w:shd w:val="clear" w:color="auto" w:fill="1B3A2B"/>
          </w:tcPr>
          <w:p>
            <w:pPr>
              <w:jc w:val="center"/>
            </w:pPr>
            <w:r>
              <w:rPr>
                <w:b/>
                <w:color w:val="FFFFFF"/>
                <w:sz w:val="21"/>
              </w:rPr>
              <w:t>Period</w:t>
            </w:r>
          </w:p>
        </w:tc>
        <w:tc>
          <w:tcPr>
            <w:tcW w:type="dxa" w:w="1234"/>
            <w:shd w:val="clear" w:color="auto" w:fill="1B3A2B"/>
          </w:tcPr>
          <w:p>
            <w:pPr>
              <w:jc w:val="center"/>
            </w:pPr>
            <w:r>
              <w:rPr>
                <w:b/>
                <w:color w:val="FFFFFF"/>
                <w:sz w:val="21"/>
              </w:rPr>
              <w:t>Incident Details</w:t>
            </w:r>
          </w:p>
        </w:tc>
        <w:tc>
          <w:tcPr>
            <w:tcW w:type="dxa" w:w="1234"/>
            <w:shd w:val="clear" w:color="auto" w:fill="1B3A2B"/>
          </w:tcPr>
          <w:p>
            <w:pPr>
              <w:jc w:val="center"/>
            </w:pPr>
            <w:r>
              <w:rPr>
                <w:b/>
                <w:color w:val="FFFFFF"/>
                <w:sz w:val="21"/>
              </w:rPr>
              <w:t>Killed</w:t>
            </w:r>
          </w:p>
        </w:tc>
        <w:tc>
          <w:tcPr>
            <w:tcW w:type="dxa" w:w="1234"/>
            <w:shd w:val="clear" w:color="auto" w:fill="1B3A2B"/>
          </w:tcPr>
          <w:p>
            <w:pPr>
              <w:jc w:val="center"/>
            </w:pPr>
            <w:r>
              <w:rPr>
                <w:b/>
                <w:color w:val="FFFFFF"/>
                <w:sz w:val="21"/>
              </w:rPr>
              <w:t>Abducted / Held</w:t>
            </w:r>
          </w:p>
        </w:tc>
        <w:tc>
          <w:tcPr>
            <w:tcW w:type="dxa" w:w="1234"/>
            <w:shd w:val="clear" w:color="auto" w:fill="1B3A2B"/>
          </w:tcPr>
          <w:p>
            <w:pPr>
              <w:jc w:val="center"/>
            </w:pPr>
            <w:r>
              <w:rPr>
                <w:b/>
                <w:color w:val="FFFFFF"/>
                <w:sz w:val="21"/>
              </w:rPr>
              <w:t>Displaced</w:t>
            </w:r>
          </w:p>
        </w:tc>
        <w:tc>
          <w:tcPr>
            <w:tcW w:type="dxa" w:w="1234"/>
            <w:shd w:val="clear" w:color="auto" w:fill="1B3A2B"/>
          </w:tcPr>
          <w:p>
            <w:pPr>
              <w:jc w:val="center"/>
            </w:pPr>
            <w:r>
              <w:rPr>
                <w:b/>
                <w:color w:val="FFFFFF"/>
                <w:sz w:val="21"/>
              </w:rPr>
              <w:t>Source</w:t>
            </w:r>
          </w:p>
        </w:tc>
      </w:tr>
      <w:tr>
        <w:tc>
          <w:tcPr>
            <w:tcW w:type="dxa" w:w="1152"/>
          </w:tcPr>
          <w:p>
            <w:r>
              <w:rPr>
                <w:sz w:val="19"/>
              </w:rPr>
              <w:t>Plateau</w:t>
            </w:r>
          </w:p>
        </w:tc>
        <w:tc>
          <w:tcPr>
            <w:tcW w:type="dxa" w:w="1296"/>
          </w:tcPr>
          <w:p>
            <w:r>
              <w:rPr>
                <w:sz w:val="19"/>
              </w:rPr>
              <w:t>May – 11 Jul 2026</w:t>
            </w:r>
          </w:p>
        </w:tc>
        <w:tc>
          <w:tcPr>
            <w:tcW w:type="dxa" w:w="3744"/>
          </w:tcPr>
          <w:p>
            <w:r>
              <w:rPr>
                <w:sz w:val="19"/>
              </w:rPr>
              <w:t>Barkin Ladi, Riyom, Bassa, Jos South, Pankshin LGAs (62 May, 43 Jun, 16 Jul 1-11)</w:t>
            </w:r>
          </w:p>
        </w:tc>
        <w:tc>
          <w:tcPr>
            <w:tcW w:type="dxa" w:w="1008"/>
          </w:tcPr>
          <w:p>
            <w:r>
              <w:rPr>
                <w:sz w:val="19"/>
              </w:rPr>
              <w:t>121 (confirmed)</w:t>
            </w:r>
          </w:p>
        </w:tc>
        <w:tc>
          <w:tcPr>
            <w:tcW w:type="dxa" w:w="1584"/>
          </w:tcPr>
          <w:p>
            <w:r>
              <w:rPr>
                <w:sz w:val="19"/>
              </w:rPr>
              <w:t>—</w:t>
            </w:r>
          </w:p>
        </w:tc>
        <w:tc>
          <w:tcPr>
            <w:tcW w:type="dxa" w:w="1440"/>
          </w:tcPr>
          <w:p>
            <w:r>
              <w:rPr>
                <w:sz w:val="19"/>
              </w:rPr>
              <w:t>—</w:t>
            </w:r>
          </w:p>
        </w:tc>
        <w:tc>
          <w:tcPr>
            <w:tcW w:type="dxa" w:w="2016"/>
          </w:tcPr>
          <w:p>
            <w:r>
              <w:rPr>
                <w:sz w:val="19"/>
              </w:rPr>
              <w:t>Berom Youth Moulders Assoc. / HumAngle</w:t>
            </w:r>
          </w:p>
        </w:tc>
      </w:tr>
      <w:tr>
        <w:tc>
          <w:tcPr>
            <w:tcW w:type="dxa" w:w="1152"/>
          </w:tcPr>
          <w:p>
            <w:r>
              <w:rPr>
                <w:sz w:val="19"/>
              </w:rPr>
              <w:t>Plateau &amp; Benue</w:t>
            </w:r>
          </w:p>
        </w:tc>
        <w:tc>
          <w:tcPr>
            <w:tcW w:type="dxa" w:w="1296"/>
          </w:tcPr>
          <w:p>
            <w:r>
              <w:rPr>
                <w:sz w:val="19"/>
              </w:rPr>
              <w:t>11–12 Jul 2026 (weekend)</w:t>
            </w:r>
          </w:p>
        </w:tc>
        <w:tc>
          <w:tcPr>
            <w:tcW w:type="dxa" w:w="3744"/>
          </w:tcPr>
          <w:p>
            <w:r>
              <w:rPr>
                <w:sz w:val="19"/>
              </w:rPr>
              <w:t>Kum &amp; Wereng-Camp, Riyom LGA (incl. 9 killed in one family, incl. a 2-month-old); Otukpo &amp; Apa LGAs, Benue</w:t>
            </w:r>
          </w:p>
        </w:tc>
        <w:tc>
          <w:tcPr>
            <w:tcW w:type="dxa" w:w="1008"/>
          </w:tcPr>
          <w:p>
            <w:r>
              <w:rPr>
                <w:sz w:val="19"/>
              </w:rPr>
              <w:t>18 initial → revised to 25–27</w:t>
            </w:r>
          </w:p>
        </w:tc>
        <w:tc>
          <w:tcPr>
            <w:tcW w:type="dxa" w:w="1584"/>
          </w:tcPr>
          <w:p>
            <w:r>
              <w:rPr>
                <w:sz w:val="19"/>
              </w:rPr>
              <w:t>—</w:t>
            </w:r>
          </w:p>
        </w:tc>
        <w:tc>
          <w:tcPr>
            <w:tcW w:type="dxa" w:w="1440"/>
          </w:tcPr>
          <w:p>
            <w:r>
              <w:rPr>
                <w:sz w:val="19"/>
              </w:rPr>
              <w:t>—</w:t>
            </w:r>
          </w:p>
        </w:tc>
        <w:tc>
          <w:tcPr>
            <w:tcW w:type="dxa" w:w="2016"/>
          </w:tcPr>
          <w:p>
            <w:r>
              <w:rPr>
                <w:sz w:val="19"/>
              </w:rPr>
              <w:t>HumAngle / Premium Times</w:t>
            </w:r>
          </w:p>
        </w:tc>
      </w:tr>
      <w:tr>
        <w:tc>
          <w:tcPr>
            <w:tcW w:type="dxa" w:w="1152"/>
          </w:tcPr>
          <w:p>
            <w:r>
              <w:rPr>
                <w:sz w:val="19"/>
              </w:rPr>
              <w:t>Niger (Borgu, Kpenya/Dekara)</w:t>
            </w:r>
          </w:p>
        </w:tc>
        <w:tc>
          <w:tcPr>
            <w:tcW w:type="dxa" w:w="1296"/>
          </w:tcPr>
          <w:p>
            <w:r>
              <w:rPr>
                <w:sz w:val="19"/>
              </w:rPr>
              <w:t>21–24 Aug 2026</w:t>
            </w:r>
          </w:p>
        </w:tc>
        <w:tc>
          <w:tcPr>
            <w:tcW w:type="dxa" w:w="3744"/>
          </w:tcPr>
          <w:p>
            <w:r>
              <w:rPr>
                <w:sz w:val="19"/>
              </w:rPr>
              <w:t>Mosque raid during Juma’at prayers; bandit propaganda video (24 Aug) claimed ~600 held — not independently confirmed</w:t>
            </w:r>
          </w:p>
        </w:tc>
        <w:tc>
          <w:tcPr>
            <w:tcW w:type="dxa" w:w="1008"/>
          </w:tcPr>
          <w:p>
            <w:r>
              <w:rPr>
                <w:sz w:val="19"/>
              </w:rPr>
              <w:t>—</w:t>
            </w:r>
          </w:p>
        </w:tc>
        <w:tc>
          <w:tcPr>
            <w:tcW w:type="dxa" w:w="1584"/>
          </w:tcPr>
          <w:p>
            <w:r>
              <w:rPr>
                <w:sz w:val="19"/>
              </w:rPr>
              <w:t>60–80 confirmed by police; ~600 unverified (bandit video)</w:t>
            </w:r>
          </w:p>
        </w:tc>
        <w:tc>
          <w:tcPr>
            <w:tcW w:type="dxa" w:w="1440"/>
          </w:tcPr>
          <w:p>
            <w:r>
              <w:rPr>
                <w:sz w:val="19"/>
              </w:rPr>
              <w:t>—</w:t>
            </w:r>
          </w:p>
        </w:tc>
        <w:tc>
          <w:tcPr>
            <w:tcW w:type="dxa" w:w="2016"/>
          </w:tcPr>
          <w:p>
            <w:r>
              <w:rPr>
                <w:sz w:val="19"/>
              </w:rPr>
              <w:t>Reuters (22 &amp; 24 Aug 2026)</w:t>
            </w:r>
          </w:p>
        </w:tc>
      </w:tr>
      <w:tr>
        <w:tc>
          <w:tcPr>
            <w:tcW w:type="dxa" w:w="1152"/>
          </w:tcPr>
          <w:p>
            <w:r>
              <w:rPr>
                <w:sz w:val="19"/>
              </w:rPr>
              <w:t>Niger (Borgu, 4 mosque communities)</w:t>
            </w:r>
          </w:p>
        </w:tc>
        <w:tc>
          <w:tcPr>
            <w:tcW w:type="dxa" w:w="1296"/>
          </w:tcPr>
          <w:p>
            <w:r>
              <w:rPr>
                <w:sz w:val="19"/>
              </w:rPr>
              <w:t>Late Aug 2026</w:t>
            </w:r>
          </w:p>
        </w:tc>
        <w:tc>
          <w:tcPr>
            <w:tcW w:type="dxa" w:w="3744"/>
          </w:tcPr>
          <w:p>
            <w:r>
              <w:rPr>
                <w:sz w:val="19"/>
              </w:rPr>
              <w:t>Multi-village offensive across four attacked mosque communities</w:t>
            </w:r>
          </w:p>
        </w:tc>
        <w:tc>
          <w:tcPr>
            <w:tcW w:type="dxa" w:w="1008"/>
          </w:tcPr>
          <w:p>
            <w:r>
              <w:rPr>
                <w:sz w:val="19"/>
              </w:rPr>
              <w:t>30 (confirmed)</w:t>
            </w:r>
          </w:p>
        </w:tc>
        <w:tc>
          <w:tcPr>
            <w:tcW w:type="dxa" w:w="1584"/>
          </w:tcPr>
          <w:p>
            <w:r>
              <w:rPr>
                <w:sz w:val="19"/>
              </w:rPr>
              <w:t>—</w:t>
            </w:r>
          </w:p>
        </w:tc>
        <w:tc>
          <w:tcPr>
            <w:tcW w:type="dxa" w:w="1440"/>
          </w:tcPr>
          <w:p>
            <w:r>
              <w:rPr>
                <w:sz w:val="19"/>
              </w:rPr>
              <w:t>~2,000 (fled to Benin Republic)</w:t>
            </w:r>
          </w:p>
        </w:tc>
        <w:tc>
          <w:tcPr>
            <w:tcW w:type="dxa" w:w="2016"/>
          </w:tcPr>
          <w:p>
            <w:r>
              <w:rPr>
                <w:sz w:val="19"/>
              </w:rPr>
              <w:t>Daily Trust / Reuters</w:t>
            </w:r>
          </w:p>
        </w:tc>
      </w:tr>
    </w:tbl>
    <w:p/>
    <w:p>
      <w:pPr>
        <w:pStyle w:val="Heading2"/>
      </w:pPr>
      <w:r>
        <w:rPr>
          <w:sz w:val="26"/>
        </w:rPr>
        <w:t>2. National Context (not state-specific)</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16"/>
        <w:gridCol w:w="1440"/>
        <w:gridCol w:w="1728"/>
        <w:gridCol w:w="2592"/>
        <w:gridCol w:w="2304"/>
      </w:tblGrid>
      <w:tr>
        <w:tc>
          <w:tcPr>
            <w:tcW w:type="dxa" w:w="1728"/>
            <w:shd w:val="clear" w:color="auto" w:fill="1B3A2B"/>
          </w:tcPr>
          <w:p>
            <w:pPr>
              <w:jc w:val="center"/>
            </w:pPr>
            <w:r>
              <w:rPr>
                <w:b/>
                <w:color w:val="FFFFFF"/>
                <w:sz w:val="21"/>
              </w:rPr>
              <w:t>Period</w:t>
            </w:r>
          </w:p>
        </w:tc>
        <w:tc>
          <w:tcPr>
            <w:tcW w:type="dxa" w:w="1728"/>
            <w:shd w:val="clear" w:color="auto" w:fill="1B3A2B"/>
          </w:tcPr>
          <w:p>
            <w:pPr>
              <w:jc w:val="center"/>
            </w:pPr>
            <w:r>
              <w:rPr>
                <w:b/>
                <w:color w:val="FFFFFF"/>
                <w:sz w:val="21"/>
              </w:rPr>
              <w:t>Killed</w:t>
            </w:r>
          </w:p>
        </w:tc>
        <w:tc>
          <w:tcPr>
            <w:tcW w:type="dxa" w:w="1728"/>
            <w:shd w:val="clear" w:color="auto" w:fill="1B3A2B"/>
          </w:tcPr>
          <w:p>
            <w:pPr>
              <w:jc w:val="center"/>
            </w:pPr>
            <w:r>
              <w:rPr>
                <w:b/>
                <w:color w:val="FFFFFF"/>
                <w:sz w:val="21"/>
              </w:rPr>
              <w:t>Kidnapped</w:t>
            </w:r>
          </w:p>
        </w:tc>
        <w:tc>
          <w:tcPr>
            <w:tcW w:type="dxa" w:w="1728"/>
            <w:shd w:val="clear" w:color="auto" w:fill="1B3A2B"/>
          </w:tcPr>
          <w:p>
            <w:pPr>
              <w:jc w:val="center"/>
            </w:pPr>
            <w:r>
              <w:rPr>
                <w:b/>
                <w:color w:val="FFFFFF"/>
                <w:sz w:val="21"/>
              </w:rPr>
              <w:t>Ransom Paid</w:t>
            </w:r>
          </w:p>
        </w:tc>
        <w:tc>
          <w:tcPr>
            <w:tcW w:type="dxa" w:w="1728"/>
            <w:shd w:val="clear" w:color="auto" w:fill="1B3A2B"/>
          </w:tcPr>
          <w:p>
            <w:pPr>
              <w:jc w:val="center"/>
            </w:pPr>
            <w:r>
              <w:rPr>
                <w:b/>
                <w:color w:val="FFFFFF"/>
                <w:sz w:val="21"/>
              </w:rPr>
              <w:t>Source</w:t>
            </w:r>
          </w:p>
        </w:tc>
      </w:tr>
      <w:tr>
        <w:tc>
          <w:tcPr>
            <w:tcW w:type="dxa" w:w="2016"/>
          </w:tcPr>
          <w:p>
            <w:pPr>
              <w:jc w:val="center"/>
            </w:pPr>
            <w:r>
              <w:rPr>
                <w:sz w:val="19"/>
              </w:rPr>
              <w:t>Jul 2025 – Jun 2026</w:t>
            </w:r>
          </w:p>
        </w:tc>
        <w:tc>
          <w:tcPr>
            <w:tcW w:type="dxa" w:w="1440"/>
          </w:tcPr>
          <w:p>
            <w:pPr>
              <w:jc w:val="center"/>
            </w:pPr>
            <w:r>
              <w:rPr>
                <w:sz w:val="19"/>
              </w:rPr>
              <w:t>1,142 (confirmed)</w:t>
            </w:r>
          </w:p>
        </w:tc>
        <w:tc>
          <w:tcPr>
            <w:tcW w:type="dxa" w:w="1728"/>
          </w:tcPr>
          <w:p>
            <w:pPr>
              <w:jc w:val="center"/>
            </w:pPr>
            <w:r>
              <w:rPr>
                <w:sz w:val="19"/>
              </w:rPr>
              <w:t>7,825 (confirmed)</w:t>
            </w:r>
          </w:p>
        </w:tc>
        <w:tc>
          <w:tcPr>
            <w:tcW w:type="dxa" w:w="2592"/>
          </w:tcPr>
          <w:p>
            <w:pPr>
              <w:jc w:val="center"/>
            </w:pPr>
            <w:r>
              <w:rPr>
                <w:sz w:val="19"/>
              </w:rPr>
              <w:t>₦7.78bn / $5.79M (confirmed, nationwide)</w:t>
            </w:r>
          </w:p>
        </w:tc>
        <w:tc>
          <w:tcPr>
            <w:tcW w:type="dxa" w:w="2304"/>
          </w:tcPr>
          <w:p>
            <w:pPr>
              <w:jc w:val="center"/>
            </w:pPr>
            <w:r>
              <w:rPr>
                <w:sz w:val="19"/>
              </w:rPr>
              <w:t>SBM Intelligence, Reuters, Vanguard (Aug 2026)</w:t>
            </w:r>
          </w:p>
        </w:tc>
      </w:tr>
    </w:tbl>
    <w:p/>
    <w:p>
      <w:pPr>
        <w:pStyle w:val="Heading2"/>
      </w:pPr>
      <w:r>
        <w:rPr>
          <w:sz w:val="26"/>
        </w:rPr>
        <w:t>3. Full Regional Totals — All 7 North-Central Units (Modeled Estimate)</w:t>
      </w:r>
    </w:p>
    <w:p>
      <w:r>
        <w:rPr>
          <w:i/>
          <w:color w:val="A05A00"/>
          <w:sz w:val="20"/>
        </w:rPr>
        <w:t>These are ACLED/HumAngle-modeled RANGES, not confirmed single figures — use as directional scale, not as exact quoted numbers on record.</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84"/>
        <w:gridCol w:w="1728"/>
        <w:gridCol w:w="1728"/>
        <w:gridCol w:w="5040"/>
      </w:tblGrid>
      <w:tr>
        <w:tc>
          <w:tcPr>
            <w:tcW w:type="dxa" w:w="2160"/>
            <w:shd w:val="clear" w:color="auto" w:fill="1B3A2B"/>
          </w:tcPr>
          <w:p>
            <w:pPr>
              <w:jc w:val="center"/>
            </w:pPr>
            <w:r>
              <w:rPr>
                <w:b/>
                <w:color w:val="FFFFFF"/>
                <w:sz w:val="21"/>
              </w:rPr>
              <w:t>Unit</w:t>
            </w:r>
          </w:p>
        </w:tc>
        <w:tc>
          <w:tcPr>
            <w:tcW w:type="dxa" w:w="2160"/>
            <w:shd w:val="clear" w:color="auto" w:fill="1B3A2B"/>
          </w:tcPr>
          <w:p>
            <w:pPr>
              <w:jc w:val="center"/>
            </w:pPr>
            <w:r>
              <w:rPr>
                <w:b/>
                <w:color w:val="FFFFFF"/>
                <w:sz w:val="21"/>
              </w:rPr>
              <w:t>Est. Fatalities</w:t>
            </w:r>
          </w:p>
        </w:tc>
        <w:tc>
          <w:tcPr>
            <w:tcW w:type="dxa" w:w="2160"/>
            <w:shd w:val="clear" w:color="auto" w:fill="1B3A2B"/>
          </w:tcPr>
          <w:p>
            <w:pPr>
              <w:jc w:val="center"/>
            </w:pPr>
            <w:r>
              <w:rPr>
                <w:b/>
                <w:color w:val="FFFFFF"/>
                <w:sz w:val="21"/>
              </w:rPr>
              <w:t>Est. Abductions</w:t>
            </w:r>
          </w:p>
        </w:tc>
        <w:tc>
          <w:tcPr>
            <w:tcW w:type="dxa" w:w="2160"/>
            <w:shd w:val="clear" w:color="auto" w:fill="1B3A2B"/>
          </w:tcPr>
          <w:p>
            <w:pPr>
              <w:jc w:val="center"/>
            </w:pPr>
            <w:r>
              <w:rPr>
                <w:b/>
                <w:color w:val="FFFFFF"/>
                <w:sz w:val="21"/>
              </w:rPr>
              <w:t>Key Dynamics</w:t>
            </w:r>
          </w:p>
        </w:tc>
      </w:tr>
      <w:tr>
        <w:tc>
          <w:tcPr>
            <w:tcW w:type="dxa" w:w="1584"/>
          </w:tcPr>
          <w:p>
            <w:r>
              <w:rPr>
                <w:sz w:val="19"/>
              </w:rPr>
              <w:t>Niger</w:t>
            </w:r>
          </w:p>
        </w:tc>
        <w:tc>
          <w:tcPr>
            <w:tcW w:type="dxa" w:w="1728"/>
          </w:tcPr>
          <w:p>
            <w:r>
              <w:rPr>
                <w:sz w:val="19"/>
              </w:rPr>
              <w:t>350–450</w:t>
            </w:r>
          </w:p>
        </w:tc>
        <w:tc>
          <w:tcPr>
            <w:tcW w:type="dxa" w:w="1728"/>
          </w:tcPr>
          <w:p>
            <w:r>
              <w:rPr>
                <w:sz w:val="19"/>
              </w:rPr>
              <w:t>700–900</w:t>
            </w:r>
          </w:p>
        </w:tc>
        <w:tc>
          <w:tcPr>
            <w:tcW w:type="dxa" w:w="5040"/>
          </w:tcPr>
          <w:p>
            <w:r>
              <w:rPr>
                <w:sz w:val="19"/>
              </w:rPr>
              <w:t>Epicenter of mass abductions (Borgu mosque raid, Papiri St. Mary’s, Shiroro). SBM: 496 victims in 68 incidents (12mo).</w:t>
            </w:r>
          </w:p>
        </w:tc>
      </w:tr>
      <w:tr>
        <w:tc>
          <w:tcPr>
            <w:tcW w:type="dxa" w:w="1584"/>
          </w:tcPr>
          <w:p>
            <w:r>
              <w:rPr>
                <w:sz w:val="19"/>
              </w:rPr>
              <w:t>Plateau</w:t>
            </w:r>
          </w:p>
        </w:tc>
        <w:tc>
          <w:tcPr>
            <w:tcW w:type="dxa" w:w="1728"/>
          </w:tcPr>
          <w:p>
            <w:r>
              <w:rPr>
                <w:sz w:val="19"/>
              </w:rPr>
              <w:t>380–480</w:t>
            </w:r>
          </w:p>
        </w:tc>
        <w:tc>
          <w:tcPr>
            <w:tcW w:type="dxa" w:w="1728"/>
          </w:tcPr>
          <w:p>
            <w:r>
              <w:rPr>
                <w:sz w:val="19"/>
              </w:rPr>
              <w:t>120–180</w:t>
            </w:r>
          </w:p>
        </w:tc>
        <w:tc>
          <w:tcPr>
            <w:tcW w:type="dxa" w:w="5040"/>
          </w:tcPr>
          <w:p>
            <w:r>
              <w:rPr>
                <w:sz w:val="19"/>
              </w:rPr>
              <w:t>Highest fatality rate, ethno-religious/agrarian raids (Barkin Ladi, Riyom, Bokkos, Bassa, Mangu). 121 confirmed.</w:t>
            </w:r>
          </w:p>
        </w:tc>
      </w:tr>
      <w:tr>
        <w:tc>
          <w:tcPr>
            <w:tcW w:type="dxa" w:w="1584"/>
          </w:tcPr>
          <w:p>
            <w:r>
              <w:rPr>
                <w:sz w:val="19"/>
              </w:rPr>
              <w:t>Benue</w:t>
            </w:r>
          </w:p>
        </w:tc>
        <w:tc>
          <w:tcPr>
            <w:tcW w:type="dxa" w:w="1728"/>
          </w:tcPr>
          <w:p>
            <w:r>
              <w:rPr>
                <w:sz w:val="19"/>
              </w:rPr>
              <w:t>280–380</w:t>
            </w:r>
          </w:p>
        </w:tc>
        <w:tc>
          <w:tcPr>
            <w:tcW w:type="dxa" w:w="1728"/>
          </w:tcPr>
          <w:p>
            <w:r>
              <w:rPr>
                <w:sz w:val="19"/>
              </w:rPr>
              <w:t>150–220</w:t>
            </w:r>
          </w:p>
        </w:tc>
        <w:tc>
          <w:tcPr>
            <w:tcW w:type="dxa" w:w="5040"/>
          </w:tcPr>
          <w:p>
            <w:r>
              <w:rPr>
                <w:sz w:val="19"/>
              </w:rPr>
              <w:t>Severe agrarian violence + highway kidnappings (Ukum, Logo, Otukpo, Apa, Gwer West). Tops regional IDP counts.</w:t>
            </w:r>
          </w:p>
        </w:tc>
      </w:tr>
      <w:tr>
        <w:tc>
          <w:tcPr>
            <w:tcW w:type="dxa" w:w="1584"/>
          </w:tcPr>
          <w:p>
            <w:r>
              <w:rPr>
                <w:sz w:val="19"/>
              </w:rPr>
              <w:t>Kwara</w:t>
            </w:r>
          </w:p>
        </w:tc>
        <w:tc>
          <w:tcPr>
            <w:tcW w:type="dxa" w:w="1728"/>
          </w:tcPr>
          <w:p>
            <w:r>
              <w:rPr>
                <w:sz w:val="19"/>
              </w:rPr>
              <w:t>40–60</w:t>
            </w:r>
          </w:p>
        </w:tc>
        <w:tc>
          <w:tcPr>
            <w:tcW w:type="dxa" w:w="1728"/>
          </w:tcPr>
          <w:p>
            <w:r>
              <w:rPr>
                <w:sz w:val="19"/>
              </w:rPr>
              <w:t>220–280</w:t>
            </w:r>
          </w:p>
        </w:tc>
        <w:tc>
          <w:tcPr>
            <w:tcW w:type="dxa" w:w="5040"/>
          </w:tcPr>
          <w:p>
            <w:r>
              <w:rPr>
                <w:sz w:val="19"/>
              </w:rPr>
              <w:t>Major abduction surge Q2/Q3 2026 (May twin raids: 25 abducted; church: 15; Aug op rescued 163).</w:t>
            </w:r>
          </w:p>
        </w:tc>
      </w:tr>
      <w:tr>
        <w:tc>
          <w:tcPr>
            <w:tcW w:type="dxa" w:w="1584"/>
          </w:tcPr>
          <w:p>
            <w:r>
              <w:rPr>
                <w:sz w:val="19"/>
              </w:rPr>
              <w:t>Kogi</w:t>
            </w:r>
          </w:p>
        </w:tc>
        <w:tc>
          <w:tcPr>
            <w:tcW w:type="dxa" w:w="1728"/>
          </w:tcPr>
          <w:p>
            <w:r>
              <w:rPr>
                <w:sz w:val="19"/>
              </w:rPr>
              <w:t>30–50</w:t>
            </w:r>
          </w:p>
        </w:tc>
        <w:tc>
          <w:tcPr>
            <w:tcW w:type="dxa" w:w="1728"/>
          </w:tcPr>
          <w:p>
            <w:r>
              <w:rPr>
                <w:sz w:val="19"/>
              </w:rPr>
              <w:t>80–120</w:t>
            </w:r>
          </w:p>
        </w:tc>
        <w:tc>
          <w:tcPr>
            <w:tcW w:type="dxa" w:w="5040"/>
          </w:tcPr>
          <w:p>
            <w:r>
              <w:rPr>
                <w:sz w:val="19"/>
              </w:rPr>
              <w:t>Highway banditry, rural militia raids (Ofu, Egume, Ochaja, Kabba axis).</w:t>
            </w:r>
          </w:p>
        </w:tc>
      </w:tr>
      <w:tr>
        <w:tc>
          <w:tcPr>
            <w:tcW w:type="dxa" w:w="1584"/>
          </w:tcPr>
          <w:p>
            <w:r>
              <w:rPr>
                <w:sz w:val="19"/>
              </w:rPr>
              <w:t>Nasarawa</w:t>
            </w:r>
          </w:p>
        </w:tc>
        <w:tc>
          <w:tcPr>
            <w:tcW w:type="dxa" w:w="1728"/>
          </w:tcPr>
          <w:p>
            <w:r>
              <w:rPr>
                <w:sz w:val="19"/>
              </w:rPr>
              <w:t>25–40</w:t>
            </w:r>
          </w:p>
        </w:tc>
        <w:tc>
          <w:tcPr>
            <w:tcW w:type="dxa" w:w="1728"/>
          </w:tcPr>
          <w:p>
            <w:r>
              <w:rPr>
                <w:sz w:val="19"/>
              </w:rPr>
              <w:t>50–80</w:t>
            </w:r>
          </w:p>
        </w:tc>
        <w:tc>
          <w:tcPr>
            <w:tcW w:type="dxa" w:w="5040"/>
          </w:tcPr>
          <w:p>
            <w:r>
              <w:rPr>
                <w:sz w:val="19"/>
              </w:rPr>
              <w:t>Moderate rural kidnapping and agrarian clashes (Lafia, Nasarawa Eggon, Karu).</w:t>
            </w:r>
          </w:p>
        </w:tc>
      </w:tr>
      <w:tr>
        <w:tc>
          <w:tcPr>
            <w:tcW w:type="dxa" w:w="1584"/>
          </w:tcPr>
          <w:p>
            <w:r>
              <w:rPr>
                <w:sz w:val="19"/>
              </w:rPr>
              <w:t>FCT (Abuja)</w:t>
            </w:r>
          </w:p>
        </w:tc>
        <w:tc>
          <w:tcPr>
            <w:tcW w:type="dxa" w:w="1728"/>
          </w:tcPr>
          <w:p>
            <w:r>
              <w:rPr>
                <w:sz w:val="19"/>
              </w:rPr>
              <w:t>15–30</w:t>
            </w:r>
          </w:p>
        </w:tc>
        <w:tc>
          <w:tcPr>
            <w:tcW w:type="dxa" w:w="1728"/>
          </w:tcPr>
          <w:p>
            <w:r>
              <w:rPr>
                <w:sz w:val="19"/>
              </w:rPr>
              <w:t>60–90</w:t>
            </w:r>
          </w:p>
        </w:tc>
        <w:tc>
          <w:tcPr>
            <w:tcW w:type="dxa" w:w="5040"/>
          </w:tcPr>
          <w:p>
            <w:r>
              <w:rPr>
                <w:sz w:val="19"/>
              </w:rPr>
              <w:t>Suburban/estate raids and border incursions (Kubwa, Bwari, Kuje).</w:t>
            </w:r>
          </w:p>
        </w:tc>
      </w:tr>
    </w:tbl>
    <w:p/>
    <w:p>
      <w:r>
        <w:rPr>
          <w:b/>
          <w:sz w:val="22"/>
        </w:rPr>
        <w:t xml:space="preserve">Regional totals: </w:t>
      </w:r>
      <w:r>
        <w:rPr>
          <w:sz w:val="22"/>
        </w:rPr>
        <w:t>1,150–1,450 total fatalities; 1,200–1,650+ kidnap/abduction victims; ~450,000–520,000 IDPs in-zone (combined NC+NW IDP benchmark: 1,311,026, IOM DTM Round 18, Feb 2026). North-Central accounts for an estimated 20–25% of all conflict fatalities nationwide (ACLED).</w:t>
      </w:r>
    </w:p>
    <w:p/>
    <w:p>
      <w:pPr>
        <w:pStyle w:val="Heading2"/>
      </w:pPr>
      <w:r>
        <w:rPr>
          <w:sz w:val="26"/>
        </w:rPr>
        <w:t>What this means for North-Central Nigeria</w:t>
      </w:r>
    </w:p>
    <w:p>
      <w:r>
        <w:rPr>
          <w:sz w:val="22"/>
        </w:rPr>
        <w:t>This is a development emergency, not merely a law-and-order problem: mass displacement, prolonged captivity, ransom payments, destroyed homes and livelihoods, disrupted farming and education, psychological trauma, and declining confidence in government protection. Plateau alone recorded 121 confirmed deaths in roughly two-and-a-half months; the Niger State episode shows armed groups can remove dozens to hundreds of civilians in a single operation.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