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 COST OF BANDITRY AND KIDNAPPING IN NORTH-CENTRAL NIGERIA</w:t>
      </w:r>
    </w:p>
    <w:p>
      <w:r>
        <w:rPr>
          <w:b/>
          <w:sz w:val="26"/>
        </w:rPr>
        <w:t>1 March – 10 September 2026 — State-by-State Breakdown</w:t>
      </w:r>
    </w:p>
    <w:p>
      <w:r>
        <w:rPr>
          <w:i/>
          <w:sz w:val="20"/>
        </w:rPr>
        <w:t>All 7 North-Central units (Benue, Kogi, Kwara, Nasarawa, Niger, Plateau, FCT) listed. Where no verified incident data was found in current sourcing, this is marked explicitly rather than left blank or estimated.</w:t>
      </w:r>
    </w:p>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52"/>
        <w:gridCol w:w="1296"/>
        <w:gridCol w:w="3888"/>
        <w:gridCol w:w="864"/>
        <w:gridCol w:w="1584"/>
        <w:gridCol w:w="1440"/>
        <w:gridCol w:w="2016"/>
      </w:tblGrid>
      <w:tr>
        <w:tc>
          <w:tcPr>
            <w:tcW w:type="dxa" w:w="1234"/>
            <w:shd w:val="clear" w:color="auto" w:fill="1B3A2B"/>
          </w:tcPr>
          <w:p>
            <w:pPr>
              <w:jc w:val="center"/>
            </w:pPr>
            <w:r>
              <w:rPr>
                <w:b/>
                <w:color w:val="FFFFFF"/>
                <w:sz w:val="21"/>
              </w:rPr>
              <w:t>State</w:t>
            </w:r>
          </w:p>
        </w:tc>
        <w:tc>
          <w:tcPr>
            <w:tcW w:type="dxa" w:w="1234"/>
            <w:shd w:val="clear" w:color="auto" w:fill="1B3A2B"/>
          </w:tcPr>
          <w:p>
            <w:pPr>
              <w:jc w:val="center"/>
            </w:pPr>
            <w:r>
              <w:rPr>
                <w:b/>
                <w:color w:val="FFFFFF"/>
                <w:sz w:val="21"/>
              </w:rPr>
              <w:t>Period</w:t>
            </w:r>
          </w:p>
        </w:tc>
        <w:tc>
          <w:tcPr>
            <w:tcW w:type="dxa" w:w="1234"/>
            <w:shd w:val="clear" w:color="auto" w:fill="1B3A2B"/>
          </w:tcPr>
          <w:p>
            <w:pPr>
              <w:jc w:val="center"/>
            </w:pPr>
            <w:r>
              <w:rPr>
                <w:b/>
                <w:color w:val="FFFFFF"/>
                <w:sz w:val="21"/>
              </w:rPr>
              <w:t>Incident Details</w:t>
            </w:r>
          </w:p>
        </w:tc>
        <w:tc>
          <w:tcPr>
            <w:tcW w:type="dxa" w:w="1234"/>
            <w:shd w:val="clear" w:color="auto" w:fill="1B3A2B"/>
          </w:tcPr>
          <w:p>
            <w:pPr>
              <w:jc w:val="center"/>
            </w:pPr>
            <w:r>
              <w:rPr>
                <w:b/>
                <w:color w:val="FFFFFF"/>
                <w:sz w:val="21"/>
              </w:rPr>
              <w:t>Killed</w:t>
            </w:r>
          </w:p>
        </w:tc>
        <w:tc>
          <w:tcPr>
            <w:tcW w:type="dxa" w:w="1234"/>
            <w:shd w:val="clear" w:color="auto" w:fill="1B3A2B"/>
          </w:tcPr>
          <w:p>
            <w:pPr>
              <w:jc w:val="center"/>
            </w:pPr>
            <w:r>
              <w:rPr>
                <w:b/>
                <w:color w:val="FFFFFF"/>
                <w:sz w:val="21"/>
              </w:rPr>
              <w:t>Abducted / Held</w:t>
            </w:r>
          </w:p>
        </w:tc>
        <w:tc>
          <w:tcPr>
            <w:tcW w:type="dxa" w:w="1234"/>
            <w:shd w:val="clear" w:color="auto" w:fill="1B3A2B"/>
          </w:tcPr>
          <w:p>
            <w:pPr>
              <w:jc w:val="center"/>
            </w:pPr>
            <w:r>
              <w:rPr>
                <w:b/>
                <w:color w:val="FFFFFF"/>
                <w:sz w:val="21"/>
              </w:rPr>
              <w:t>Displaced</w:t>
            </w:r>
          </w:p>
        </w:tc>
        <w:tc>
          <w:tcPr>
            <w:tcW w:type="dxa" w:w="1234"/>
            <w:shd w:val="clear" w:color="auto" w:fill="1B3A2B"/>
          </w:tcPr>
          <w:p>
            <w:pPr>
              <w:jc w:val="center"/>
            </w:pPr>
            <w:r>
              <w:rPr>
                <w:b/>
                <w:color w:val="FFFFFF"/>
                <w:sz w:val="21"/>
              </w:rPr>
              <w:t>Source</w:t>
            </w:r>
          </w:p>
        </w:tc>
      </w:tr>
      <w:tr>
        <w:tc>
          <w:tcPr>
            <w:tcW w:type="dxa" w:w="1152"/>
          </w:tcPr>
          <w:p>
            <w:pPr>
              <w:jc w:val="left"/>
            </w:pPr>
            <w:r>
              <w:rPr>
                <w:sz w:val="20"/>
              </w:rPr>
              <w:t>Benue</w:t>
            </w:r>
          </w:p>
        </w:tc>
        <w:tc>
          <w:tcPr>
            <w:tcW w:type="dxa" w:w="1296"/>
          </w:tcPr>
          <w:p>
            <w:pPr>
              <w:jc w:val="left"/>
            </w:pPr>
            <w:r>
              <w:rPr>
                <w:sz w:val="20"/>
              </w:rPr>
              <w:t>Jul 2026 (single weekend)</w:t>
            </w:r>
          </w:p>
        </w:tc>
        <w:tc>
          <w:tcPr>
            <w:tcW w:type="dxa" w:w="3888"/>
          </w:tcPr>
          <w:p>
            <w:pPr>
              <w:jc w:val="left"/>
            </w:pPr>
            <w:r>
              <w:rPr>
                <w:sz w:val="20"/>
              </w:rPr>
              <w:t>Cross-state weekend attacks with Plateau; state-level split not given in source reporting (combined figure)</w:t>
            </w:r>
          </w:p>
        </w:tc>
        <w:tc>
          <w:tcPr>
            <w:tcW w:type="dxa" w:w="864"/>
          </w:tcPr>
          <w:p>
            <w:pPr>
              <w:jc w:val="left"/>
            </w:pPr>
            <w:r>
              <w:rPr>
                <w:sz w:val="20"/>
              </w:rPr>
              <w:t>Part of 18+ (combined w/ Plateau)</w:t>
            </w:r>
          </w:p>
        </w:tc>
        <w:tc>
          <w:tcPr>
            <w:tcW w:type="dxa" w:w="1584"/>
          </w:tcPr>
          <w:p>
            <w:pPr>
              <w:jc w:val="left"/>
            </w:pPr>
            <w:r>
              <w:rPr>
                <w:sz w:val="20"/>
              </w:rPr>
              <w:t>—</w:t>
            </w:r>
          </w:p>
        </w:tc>
        <w:tc>
          <w:tcPr>
            <w:tcW w:type="dxa" w:w="1440"/>
          </w:tcPr>
          <w:p>
            <w:pPr>
              <w:jc w:val="left"/>
            </w:pPr>
            <w:r>
              <w:rPr>
                <w:sz w:val="20"/>
              </w:rPr>
              <w:t>—</w:t>
            </w:r>
          </w:p>
        </w:tc>
        <w:tc>
          <w:tcPr>
            <w:tcW w:type="dxa" w:w="2016"/>
          </w:tcPr>
          <w:p>
            <w:pPr>
              <w:jc w:val="left"/>
            </w:pPr>
            <w:r>
              <w:rPr>
                <w:sz w:val="20"/>
              </w:rPr>
              <w:t>HumAngle / local reporting</w:t>
            </w:r>
          </w:p>
        </w:tc>
      </w:tr>
      <w:tr>
        <w:tc>
          <w:tcPr>
            <w:tcW w:type="dxa" w:w="1152"/>
          </w:tcPr>
          <w:p>
            <w:pPr>
              <w:jc w:val="left"/>
            </w:pPr>
            <w:r>
              <w:rPr>
                <w:sz w:val="20"/>
              </w:rPr>
              <w:t>Kogi</w:t>
            </w:r>
          </w:p>
        </w:tc>
        <w:tc>
          <w:tcPr>
            <w:tcW w:type="dxa" w:w="1296"/>
          </w:tcPr>
          <w:p>
            <w:pPr>
              <w:jc w:val="left"/>
            </w:pPr>
            <w:r>
              <w:rPr>
                <w:sz w:val="20"/>
              </w:rPr>
              <w:t>—</w:t>
            </w:r>
          </w:p>
        </w:tc>
        <w:tc>
          <w:tcPr>
            <w:tcW w:type="dxa" w:w="3888"/>
          </w:tcPr>
          <w:p>
            <w:pPr>
              <w:jc w:val="left"/>
            </w:pPr>
            <w:r>
              <w:rPr>
                <w:sz w:val="20"/>
              </w:rPr>
              <w:t>No verified incident data found in current sourcing for this period</w:t>
            </w:r>
          </w:p>
        </w:tc>
        <w:tc>
          <w:tcPr>
            <w:tcW w:type="dxa" w:w="864"/>
          </w:tcPr>
          <w:p>
            <w:pPr>
              <w:jc w:val="left"/>
            </w:pPr>
            <w:r>
              <w:rPr>
                <w:sz w:val="20"/>
              </w:rPr>
              <w:t>No data</w:t>
            </w:r>
          </w:p>
        </w:tc>
        <w:tc>
          <w:tcPr>
            <w:tcW w:type="dxa" w:w="1584"/>
          </w:tcPr>
          <w:p>
            <w:pPr>
              <w:jc w:val="left"/>
            </w:pPr>
            <w:r>
              <w:rPr>
                <w:sz w:val="20"/>
              </w:rPr>
              <w:t>—</w:t>
            </w:r>
          </w:p>
        </w:tc>
        <w:tc>
          <w:tcPr>
            <w:tcW w:type="dxa" w:w="1440"/>
          </w:tcPr>
          <w:p>
            <w:pPr>
              <w:jc w:val="left"/>
            </w:pPr>
            <w:r>
              <w:rPr>
                <w:sz w:val="20"/>
              </w:rPr>
              <w:t>—</w:t>
            </w:r>
          </w:p>
        </w:tc>
        <w:tc>
          <w:tcPr>
            <w:tcW w:type="dxa" w:w="2016"/>
          </w:tcPr>
          <w:p>
            <w:pPr>
              <w:jc w:val="left"/>
            </w:pPr>
            <w:r>
              <w:rPr>
                <w:sz w:val="20"/>
              </w:rPr>
              <w:t>Pending further research</w:t>
            </w:r>
          </w:p>
        </w:tc>
      </w:tr>
      <w:tr>
        <w:tc>
          <w:tcPr>
            <w:tcW w:type="dxa" w:w="1152"/>
          </w:tcPr>
          <w:p>
            <w:pPr>
              <w:jc w:val="left"/>
            </w:pPr>
            <w:r>
              <w:rPr>
                <w:sz w:val="20"/>
              </w:rPr>
              <w:t>Kwara</w:t>
            </w:r>
          </w:p>
        </w:tc>
        <w:tc>
          <w:tcPr>
            <w:tcW w:type="dxa" w:w="1296"/>
          </w:tcPr>
          <w:p>
            <w:pPr>
              <w:jc w:val="left"/>
            </w:pPr>
            <w:r>
              <w:rPr>
                <w:sz w:val="20"/>
              </w:rPr>
              <w:t>—</w:t>
            </w:r>
          </w:p>
        </w:tc>
        <w:tc>
          <w:tcPr>
            <w:tcW w:type="dxa" w:w="3888"/>
          </w:tcPr>
          <w:p>
            <w:pPr>
              <w:jc w:val="left"/>
            </w:pPr>
            <w:r>
              <w:rPr>
                <w:sz w:val="20"/>
              </w:rPr>
              <w:t>No verified incident data found in current sourcing for this period</w:t>
            </w:r>
          </w:p>
        </w:tc>
        <w:tc>
          <w:tcPr>
            <w:tcW w:type="dxa" w:w="864"/>
          </w:tcPr>
          <w:p>
            <w:pPr>
              <w:jc w:val="left"/>
            </w:pPr>
            <w:r>
              <w:rPr>
                <w:sz w:val="20"/>
              </w:rPr>
              <w:t>No data</w:t>
            </w:r>
          </w:p>
        </w:tc>
        <w:tc>
          <w:tcPr>
            <w:tcW w:type="dxa" w:w="1584"/>
          </w:tcPr>
          <w:p>
            <w:pPr>
              <w:jc w:val="left"/>
            </w:pPr>
            <w:r>
              <w:rPr>
                <w:sz w:val="20"/>
              </w:rPr>
              <w:t>—</w:t>
            </w:r>
          </w:p>
        </w:tc>
        <w:tc>
          <w:tcPr>
            <w:tcW w:type="dxa" w:w="1440"/>
          </w:tcPr>
          <w:p>
            <w:pPr>
              <w:jc w:val="left"/>
            </w:pPr>
            <w:r>
              <w:rPr>
                <w:sz w:val="20"/>
              </w:rPr>
              <w:t>—</w:t>
            </w:r>
          </w:p>
        </w:tc>
        <w:tc>
          <w:tcPr>
            <w:tcW w:type="dxa" w:w="2016"/>
          </w:tcPr>
          <w:p>
            <w:pPr>
              <w:jc w:val="left"/>
            </w:pPr>
            <w:r>
              <w:rPr>
                <w:sz w:val="20"/>
              </w:rPr>
              <w:t>Pending further research</w:t>
            </w:r>
          </w:p>
        </w:tc>
      </w:tr>
      <w:tr>
        <w:tc>
          <w:tcPr>
            <w:tcW w:type="dxa" w:w="1152"/>
          </w:tcPr>
          <w:p>
            <w:pPr>
              <w:jc w:val="left"/>
            </w:pPr>
            <w:r>
              <w:rPr>
                <w:sz w:val="20"/>
              </w:rPr>
              <w:t>Nasarawa</w:t>
            </w:r>
          </w:p>
        </w:tc>
        <w:tc>
          <w:tcPr>
            <w:tcW w:type="dxa" w:w="1296"/>
          </w:tcPr>
          <w:p>
            <w:pPr>
              <w:jc w:val="left"/>
            </w:pPr>
            <w:r>
              <w:rPr>
                <w:sz w:val="20"/>
              </w:rPr>
              <w:t>—</w:t>
            </w:r>
          </w:p>
        </w:tc>
        <w:tc>
          <w:tcPr>
            <w:tcW w:type="dxa" w:w="3888"/>
          </w:tcPr>
          <w:p>
            <w:pPr>
              <w:jc w:val="left"/>
            </w:pPr>
            <w:r>
              <w:rPr>
                <w:sz w:val="20"/>
              </w:rPr>
              <w:t>No verified incident data found in current sourcing for this period</w:t>
            </w:r>
          </w:p>
        </w:tc>
        <w:tc>
          <w:tcPr>
            <w:tcW w:type="dxa" w:w="864"/>
          </w:tcPr>
          <w:p>
            <w:pPr>
              <w:jc w:val="left"/>
            </w:pPr>
            <w:r>
              <w:rPr>
                <w:sz w:val="20"/>
              </w:rPr>
              <w:t>No data</w:t>
            </w:r>
          </w:p>
        </w:tc>
        <w:tc>
          <w:tcPr>
            <w:tcW w:type="dxa" w:w="1584"/>
          </w:tcPr>
          <w:p>
            <w:pPr>
              <w:jc w:val="left"/>
            </w:pPr>
            <w:r>
              <w:rPr>
                <w:sz w:val="20"/>
              </w:rPr>
              <w:t>—</w:t>
            </w:r>
          </w:p>
        </w:tc>
        <w:tc>
          <w:tcPr>
            <w:tcW w:type="dxa" w:w="1440"/>
          </w:tcPr>
          <w:p>
            <w:pPr>
              <w:jc w:val="left"/>
            </w:pPr>
            <w:r>
              <w:rPr>
                <w:sz w:val="20"/>
              </w:rPr>
              <w:t>—</w:t>
            </w:r>
          </w:p>
        </w:tc>
        <w:tc>
          <w:tcPr>
            <w:tcW w:type="dxa" w:w="2016"/>
          </w:tcPr>
          <w:p>
            <w:pPr>
              <w:jc w:val="left"/>
            </w:pPr>
            <w:r>
              <w:rPr>
                <w:sz w:val="20"/>
              </w:rPr>
              <w:t>Pending further research</w:t>
            </w:r>
          </w:p>
        </w:tc>
      </w:tr>
      <w:tr>
        <w:tc>
          <w:tcPr>
            <w:tcW w:type="dxa" w:w="1152"/>
          </w:tcPr>
          <w:p>
            <w:pPr>
              <w:jc w:val="left"/>
            </w:pPr>
            <w:r>
              <w:rPr>
                <w:sz w:val="20"/>
              </w:rPr>
              <w:t>Niger</w:t>
            </w:r>
          </w:p>
        </w:tc>
        <w:tc>
          <w:tcPr>
            <w:tcW w:type="dxa" w:w="1296"/>
          </w:tcPr>
          <w:p>
            <w:pPr>
              <w:jc w:val="left"/>
            </w:pPr>
            <w:r>
              <w:rPr>
                <w:sz w:val="20"/>
              </w:rPr>
              <w:t>Aug 2026</w:t>
            </w:r>
          </w:p>
        </w:tc>
        <w:tc>
          <w:tcPr>
            <w:tcW w:type="dxa" w:w="3888"/>
          </w:tcPr>
          <w:p>
            <w:pPr>
              <w:jc w:val="left"/>
            </w:pPr>
            <w:r>
              <w:rPr>
                <w:sz w:val="20"/>
              </w:rPr>
              <w:t>Mass abduction, Kpenya/Dekara, Borgu area; video evidence reported by residents suggested a much larger held figure, still being verified by authorities</w:t>
            </w:r>
          </w:p>
        </w:tc>
        <w:tc>
          <w:tcPr>
            <w:tcW w:type="dxa" w:w="864"/>
          </w:tcPr>
          <w:p>
            <w:pPr>
              <w:jc w:val="left"/>
            </w:pPr>
            <w:r>
              <w:rPr>
                <w:sz w:val="20"/>
              </w:rPr>
              <w:t>~30</w:t>
            </w:r>
          </w:p>
        </w:tc>
        <w:tc>
          <w:tcPr>
            <w:tcW w:type="dxa" w:w="1584"/>
          </w:tcPr>
          <w:p>
            <w:pPr>
              <w:jc w:val="left"/>
            </w:pPr>
            <w:r>
              <w:rPr>
                <w:sz w:val="20"/>
              </w:rPr>
              <w:t>60–80 (reported); ~600 unverified (video evidence)</w:t>
            </w:r>
          </w:p>
        </w:tc>
        <w:tc>
          <w:tcPr>
            <w:tcW w:type="dxa" w:w="1440"/>
          </w:tcPr>
          <w:p>
            <w:pPr>
              <w:jc w:val="left"/>
            </w:pPr>
            <w:r>
              <w:rPr>
                <w:sz w:val="20"/>
              </w:rPr>
              <w:t>~2,000 (toward Benin Republic border)</w:t>
            </w:r>
          </w:p>
        </w:tc>
        <w:tc>
          <w:tcPr>
            <w:tcW w:type="dxa" w:w="2016"/>
          </w:tcPr>
          <w:p>
            <w:pPr>
              <w:jc w:val="left"/>
            </w:pPr>
            <w:r>
              <w:rPr>
                <w:sz w:val="20"/>
              </w:rPr>
              <w:t>Local officials, cited by Reuters</w:t>
            </w:r>
          </w:p>
        </w:tc>
      </w:tr>
      <w:tr>
        <w:tc>
          <w:tcPr>
            <w:tcW w:type="dxa" w:w="1152"/>
          </w:tcPr>
          <w:p>
            <w:pPr>
              <w:jc w:val="left"/>
            </w:pPr>
            <w:r>
              <w:rPr>
                <w:sz w:val="20"/>
              </w:rPr>
              <w:t>Plateau</w:t>
            </w:r>
          </w:p>
        </w:tc>
        <w:tc>
          <w:tcPr>
            <w:tcW w:type="dxa" w:w="1296"/>
          </w:tcPr>
          <w:p>
            <w:pPr>
              <w:jc w:val="left"/>
            </w:pPr>
            <w:r>
              <w:rPr>
                <w:sz w:val="20"/>
              </w:rPr>
              <w:t>May – 11 Jul 2026</w:t>
            </w:r>
          </w:p>
        </w:tc>
        <w:tc>
          <w:tcPr>
            <w:tcW w:type="dxa" w:w="3888"/>
          </w:tcPr>
          <w:p>
            <w:pPr>
              <w:jc w:val="left"/>
            </w:pPr>
            <w:r>
              <w:rPr>
                <w:sz w:val="20"/>
              </w:rPr>
              <w:t>Attacks across Barkin Ladi, Riyom, Bassa, Jos South, Pankshin and other LGAs (62 in May, 43 in June, 16 in first 11 days of July); plus share of the Jul weekend attack with Benue (incl. entire family killed in Kum, Riyom LGA)</w:t>
            </w:r>
          </w:p>
        </w:tc>
        <w:tc>
          <w:tcPr>
            <w:tcW w:type="dxa" w:w="864"/>
          </w:tcPr>
          <w:p>
            <w:pPr>
              <w:jc w:val="left"/>
            </w:pPr>
            <w:r>
              <w:rPr>
                <w:sz w:val="20"/>
              </w:rPr>
              <w:t>121 (+ part of 18+ weekend figure)</w:t>
            </w:r>
          </w:p>
        </w:tc>
        <w:tc>
          <w:tcPr>
            <w:tcW w:type="dxa" w:w="1584"/>
          </w:tcPr>
          <w:p>
            <w:pPr>
              <w:jc w:val="left"/>
            </w:pPr>
            <w:r>
              <w:rPr>
                <w:sz w:val="20"/>
              </w:rPr>
              <w:t>—</w:t>
            </w:r>
          </w:p>
        </w:tc>
        <w:tc>
          <w:tcPr>
            <w:tcW w:type="dxa" w:w="1440"/>
          </w:tcPr>
          <w:p>
            <w:pPr>
              <w:jc w:val="left"/>
            </w:pPr>
            <w:r>
              <w:rPr>
                <w:sz w:val="20"/>
              </w:rPr>
              <w:t>—</w:t>
            </w:r>
          </w:p>
        </w:tc>
        <w:tc>
          <w:tcPr>
            <w:tcW w:type="dxa" w:w="2016"/>
          </w:tcPr>
          <w:p>
            <w:pPr>
              <w:jc w:val="left"/>
            </w:pPr>
            <w:r>
              <w:rPr>
                <w:sz w:val="20"/>
              </w:rPr>
              <w:t>Berom Youth Moulders Association, reviewed by HumAngle</w:t>
            </w:r>
          </w:p>
        </w:tc>
      </w:tr>
      <w:tr>
        <w:tc>
          <w:tcPr>
            <w:tcW w:type="dxa" w:w="1152"/>
          </w:tcPr>
          <w:p>
            <w:pPr>
              <w:jc w:val="left"/>
            </w:pPr>
            <w:r>
              <w:rPr>
                <w:sz w:val="20"/>
              </w:rPr>
              <w:t>FCT</w:t>
            </w:r>
          </w:p>
        </w:tc>
        <w:tc>
          <w:tcPr>
            <w:tcW w:type="dxa" w:w="1296"/>
          </w:tcPr>
          <w:p>
            <w:pPr>
              <w:jc w:val="left"/>
            </w:pPr>
            <w:r>
              <w:rPr>
                <w:sz w:val="20"/>
              </w:rPr>
              <w:t>—</w:t>
            </w:r>
          </w:p>
        </w:tc>
        <w:tc>
          <w:tcPr>
            <w:tcW w:type="dxa" w:w="3888"/>
          </w:tcPr>
          <w:p>
            <w:pPr>
              <w:jc w:val="left"/>
            </w:pPr>
            <w:r>
              <w:rPr>
                <w:sz w:val="20"/>
              </w:rPr>
              <w:t>No verified incident data found in current sourcing for this period</w:t>
            </w:r>
          </w:p>
        </w:tc>
        <w:tc>
          <w:tcPr>
            <w:tcW w:type="dxa" w:w="864"/>
          </w:tcPr>
          <w:p>
            <w:pPr>
              <w:jc w:val="left"/>
            </w:pPr>
            <w:r>
              <w:rPr>
                <w:sz w:val="20"/>
              </w:rPr>
              <w:t>No data</w:t>
            </w:r>
          </w:p>
        </w:tc>
        <w:tc>
          <w:tcPr>
            <w:tcW w:type="dxa" w:w="1584"/>
          </w:tcPr>
          <w:p>
            <w:pPr>
              <w:jc w:val="left"/>
            </w:pPr>
            <w:r>
              <w:rPr>
                <w:sz w:val="20"/>
              </w:rPr>
              <w:t>—</w:t>
            </w:r>
          </w:p>
        </w:tc>
        <w:tc>
          <w:tcPr>
            <w:tcW w:type="dxa" w:w="1440"/>
          </w:tcPr>
          <w:p>
            <w:pPr>
              <w:jc w:val="left"/>
            </w:pPr>
            <w:r>
              <w:rPr>
                <w:sz w:val="20"/>
              </w:rPr>
              <w:t>—</w:t>
            </w:r>
          </w:p>
        </w:tc>
        <w:tc>
          <w:tcPr>
            <w:tcW w:type="dxa" w:w="2016"/>
          </w:tcPr>
          <w:p>
            <w:pPr>
              <w:jc w:val="left"/>
            </w:pPr>
            <w:r>
              <w:rPr>
                <w:sz w:val="20"/>
              </w:rPr>
              <w:t>Pending further research</w:t>
            </w:r>
          </w:p>
        </w:tc>
      </w:tr>
    </w:tbl>
    <w:p/>
    <w:p>
      <w:pPr>
        <w:pStyle w:val="Heading2"/>
      </w:pPr>
      <w:r>
        <w:rPr>
          <w:sz w:val="25"/>
        </w:rPr>
        <w:t>National context (not state-specific)</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16"/>
        <w:gridCol w:w="1440"/>
        <w:gridCol w:w="1728"/>
        <w:gridCol w:w="2304"/>
        <w:gridCol w:w="2592"/>
      </w:tblGrid>
      <w:tr>
        <w:tc>
          <w:tcPr>
            <w:tcW w:type="dxa" w:w="1728"/>
            <w:shd w:val="clear" w:color="auto" w:fill="1B3A2B"/>
          </w:tcPr>
          <w:p>
            <w:pPr>
              <w:jc w:val="center"/>
            </w:pPr>
            <w:r>
              <w:rPr>
                <w:b/>
                <w:color w:val="FFFFFF"/>
                <w:sz w:val="21"/>
              </w:rPr>
              <w:t>Period</w:t>
            </w:r>
          </w:p>
        </w:tc>
        <w:tc>
          <w:tcPr>
            <w:tcW w:type="dxa" w:w="1728"/>
            <w:shd w:val="clear" w:color="auto" w:fill="1B3A2B"/>
          </w:tcPr>
          <w:p>
            <w:pPr>
              <w:jc w:val="center"/>
            </w:pPr>
            <w:r>
              <w:rPr>
                <w:b/>
                <w:color w:val="FFFFFF"/>
                <w:sz w:val="21"/>
              </w:rPr>
              <w:t>Killed</w:t>
            </w:r>
          </w:p>
        </w:tc>
        <w:tc>
          <w:tcPr>
            <w:tcW w:type="dxa" w:w="1728"/>
            <w:shd w:val="clear" w:color="auto" w:fill="1B3A2B"/>
          </w:tcPr>
          <w:p>
            <w:pPr>
              <w:jc w:val="center"/>
            </w:pPr>
            <w:r>
              <w:rPr>
                <w:b/>
                <w:color w:val="FFFFFF"/>
                <w:sz w:val="21"/>
              </w:rPr>
              <w:t>Kidnapped</w:t>
            </w:r>
          </w:p>
        </w:tc>
        <w:tc>
          <w:tcPr>
            <w:tcW w:type="dxa" w:w="1728"/>
            <w:shd w:val="clear" w:color="auto" w:fill="1B3A2B"/>
          </w:tcPr>
          <w:p>
            <w:pPr>
              <w:jc w:val="center"/>
            </w:pPr>
            <w:r>
              <w:rPr>
                <w:b/>
                <w:color w:val="FFFFFF"/>
                <w:sz w:val="21"/>
              </w:rPr>
              <w:t>Ransom Paid</w:t>
            </w:r>
          </w:p>
        </w:tc>
        <w:tc>
          <w:tcPr>
            <w:tcW w:type="dxa" w:w="1728"/>
            <w:shd w:val="clear" w:color="auto" w:fill="1B3A2B"/>
          </w:tcPr>
          <w:p>
            <w:pPr>
              <w:jc w:val="center"/>
            </w:pPr>
            <w:r>
              <w:rPr>
                <w:b/>
                <w:color w:val="FFFFFF"/>
                <w:sz w:val="21"/>
              </w:rPr>
              <w:t>Source</w:t>
            </w:r>
          </w:p>
        </w:tc>
      </w:tr>
      <w:tr>
        <w:tc>
          <w:tcPr>
            <w:tcW w:type="dxa" w:w="2016"/>
          </w:tcPr>
          <w:p>
            <w:pPr>
              <w:jc w:val="center"/>
            </w:pPr>
            <w:r>
              <w:rPr>
                <w:sz w:val="20"/>
              </w:rPr>
              <w:t>Jul 2025 – Jun 2026</w:t>
            </w:r>
          </w:p>
        </w:tc>
        <w:tc>
          <w:tcPr>
            <w:tcW w:type="dxa" w:w="1440"/>
          </w:tcPr>
          <w:p>
            <w:pPr>
              <w:jc w:val="center"/>
            </w:pPr>
            <w:r>
              <w:rPr>
                <w:sz w:val="20"/>
              </w:rPr>
              <w:t>1,142+</w:t>
            </w:r>
          </w:p>
        </w:tc>
        <w:tc>
          <w:tcPr>
            <w:tcW w:type="dxa" w:w="1728"/>
          </w:tcPr>
          <w:p>
            <w:pPr>
              <w:jc w:val="center"/>
            </w:pPr>
            <w:r>
              <w:rPr>
                <w:sz w:val="20"/>
              </w:rPr>
              <w:t>7,825</w:t>
            </w:r>
          </w:p>
        </w:tc>
        <w:tc>
          <w:tcPr>
            <w:tcW w:type="dxa" w:w="2304"/>
          </w:tcPr>
          <w:p>
            <w:pPr>
              <w:jc w:val="center"/>
            </w:pPr>
            <w:r>
              <w:rPr>
                <w:sz w:val="20"/>
              </w:rPr>
              <w:t>₦7.78 billion+</w:t>
            </w:r>
          </w:p>
        </w:tc>
        <w:tc>
          <w:tcPr>
            <w:tcW w:type="dxa" w:w="2592"/>
          </w:tcPr>
          <w:p>
            <w:pPr>
              <w:jc w:val="center"/>
            </w:pPr>
            <w:r>
              <w:rPr>
                <w:sz w:val="20"/>
              </w:rPr>
              <w:t>SBM Intelligence</w:t>
            </w:r>
          </w:p>
        </w:tc>
      </w:tr>
    </w:tbl>
    <w:p/>
    <w:p>
      <w:pPr>
        <w:pStyle w:val="Heading2"/>
      </w:pPr>
      <w:r>
        <w:rPr>
          <w:sz w:val="26"/>
        </w:rPr>
        <w:t>What this means for North-Central Nigeria</w:t>
      </w:r>
    </w:p>
    <w:p>
      <w:r>
        <w:rPr>
          <w:sz w:val="22"/>
        </w:rPr>
        <w:t>The human cost above goes beyond deaths and abductions: it includes mass displacement, prolonged captivity, ransom payments, destroyed homes and livelihoods, disrupted farming and education, psychological trauma, and declining confidence in government protection. Plateau alone recorded 121 deaths in roughly two-and-a-half months, while the Niger State episode shows armed groups can remove hundreds of civilians in a single operation. For a 20-year North-Central development plan, this should be treated as a development emergency, not merely a law-and-order problem.</w:t>
      </w:r>
    </w:p>
    <w:p/>
    <w:p>
      <w:r>
        <w:rPr>
          <w:b/>
          <w:color w:val="A05A00"/>
          <w:sz w:val="21"/>
        </w:rPr>
        <w:t xml:space="preserve">Verification note: </w:t>
      </w:r>
      <w:r>
        <w:rPr>
          <w:i/>
          <w:sz w:val="21"/>
        </w:rPr>
        <w:t>Kogi, Kwara, Nasarawa and FCT show 'no data' because no verified incident reporting for this specific window was found in current sourcing — this does NOT mean zero incidents occurred, only that none were confirmed. A full state-by-state ACLED/HumAngle aggregation is in progress in the background and will be used to fill these gaps and cross-check the figures already listed.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