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ZEROPAY DIGITAL SERVICES LTD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United Kingdom Subsidiary of BETONIQ WEST LTD (RC 1496603, Nigeria)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AgriLink — Technical White Paper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2E5395"/>
          <w:sz w:val="40"/>
          <w:szCs w:val="40"/>
        </w:rPr>
        <w:t xml:space="preserve">Real-time farmer-to-buyer and cold-chain logistics marketplace.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Prepared by: Tom Ugbodaga — Shareholder &amp; CEO</w:t>
      </w:r>
    </w:p>
    <w:p>
      <w:pPr>
        <w:spacing w:after="60"/>
        <w:jc w:val="center"/>
      </w:pPr>
      <w:r>
        <w:rPr>
          <w:rFonts w:ascii="Arial" w:cs="Arial" w:eastAsia="Arial" w:hAnsi="Arial"/>
          <w:sz w:val="36"/>
          <w:szCs w:val="36"/>
        </w:rPr>
        <w:t xml:space="preserve">MSc Computer Systems Security (University of Gloucestershire — England, 2011)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F3864"/>
          <w:sz w:val="36"/>
          <w:szCs w:val="36"/>
        </w:rPr>
        <w:t xml:space="preserve">LinkedIn: https://www.linkedin.com/in/tom-deggs-ugbodaga-2306692bb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September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36"/>
          <w:szCs w:val="36"/>
        </w:rPr>
        <w:t xml:space="preserve">Prepared for grant, government, and institutional review</w:t>
      </w: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AgriLink is a Zeropay Digital Services Ltd venture (UK subsidiary of BETONIQ WEST LTD) — Real-time farmer-to-buyer and cold-chain logistics marketplace.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Key statistic: 1.3 billion tonnes of food — roughly one third of everything the world produces — is lost or wasted every year, while 733 million people go hungry (FAO/UNEP data).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Problem Statement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Smallholder farmers in emerging markets routinely lose 30-40% of harvested crops before reaching a buyer, due to the absence of real-time market information, unreliable transport coordination, and multiple unnecessary broker layers that both delay sale and depress farmer income. AgriLink removes the information and logistics gap directly.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Technical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Geolocation-ranked matching engine surfaces nearby listings to buyers and available trucks in real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Lightweight mobile-first client designed for low-end Android devices and intermittent connectivity.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Freshness-window scoring de-prioritizes listings approaching spoilage risk to encourage fast matching.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In-app deal confirmation replaces informal broker negotiation with a timestamped digital record.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Farmer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Profile, location, active crop listings, verified transaction history.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CropListing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Crop type, quantity, harvest date, asking price, freshness window.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Buyer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Verified buyer/aggregator profile and purchase history.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LogisticsTruck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Real-time location, capacity, cold-chain capability, availability.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Transaction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36"/>
                <w:szCs w:val="36"/>
              </w:rPr>
              <w:t xml:space="preserve">Confirmed deal record: price, quantity, pickup time, settlement status.</w:t>
            </w:r>
          </w:p>
        </w:tc>
      </w:tr>
    </w:tbl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Security, Privacy &amp; Compliance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Farmer and buyer personal data minimized to what is operationally necessary (name, phone, location).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Transaction history immutable once confirmed, to support dispute resolution and lender credit assessments.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36"/>
          <w:szCs w:val="36"/>
        </w:rPr>
        <w:t xml:space="preserve">Role-based access ensures buyers cannot see other buyers' bid data (sealed-bid style fairness).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Feasibility &amp; Build Status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MVP data model and matching-engine logic specified. Frontend and API build proceeding on GitHub under Zeropay Digital Services Ltd; AI-assisted matching/ranking model hosted live on Hugging Face Spaces.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Market Opportunity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Global agri-supply-chain software market projected to exceed $28B by 2030. Target beachhead: 2.5 million smallholder farmers across Nigeria's northern grain belt.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Grant &amp; Funder Fit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36"/>
          <w:szCs w:val="36"/>
        </w:rPr>
        <w:t xml:space="preserve">Strong fit for agri-tech and food-security grant lines: IFAD Agri-Tech innovation funds, GSMA AgriTech Innovation Fund, EU Horizon Europe Food Systems calls, and national agriculture ministry digitization grants.</w:t>
      </w:r>
    </w:p>
    <w:p>
      <w:pPr>
        <w:pStyle w:val="Heading1"/>
        <w:pageBreakBefore/>
        <w:spacing w:after="200" w:before="1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Funding Ask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$150,000 seed grant to fund 12-month pilot across 3 Nigerian states (500 farmers, 50 buyers, 20 logistics partners).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2026-09-05T18:37:37.580Z</dcterms:created>
  <dcterms:modified xsi:type="dcterms:W3CDTF">2026-09-05T18:37:37.587Z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