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ZEROPAY DIGITAL SERVICES LTD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United Kingdom Subsidiary of BETONIQ WEST LTD (RC 1496603, Nigeria)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SafeGuard — Technical White Paper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2E5395"/>
          <w:sz w:val="40"/>
          <w:szCs w:val="40"/>
        </w:rPr>
        <w:t xml:space="preserve">ScamShield fraud/romance-scam detection and SafeLink anonymous trafficking-victim support.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Prepared by: Tom Ugbodaga — Shareholder &amp; CEO</w:t>
      </w:r>
    </w:p>
    <w:p>
      <w:pPr>
        <w:spacing w:after="60"/>
        <w:jc w:val="center"/>
      </w:pPr>
      <w:r>
        <w:rPr>
          <w:rFonts w:ascii="Arial" w:cs="Arial" w:eastAsia="Arial" w:hAnsi="Arial"/>
          <w:sz w:val="36"/>
          <w:szCs w:val="36"/>
        </w:rPr>
        <w:t xml:space="preserve">MSc Computer Systems Security (University of Gloucestershire — England, 2011)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1F3864"/>
          <w:sz w:val="36"/>
          <w:szCs w:val="36"/>
        </w:rPr>
        <w:t xml:space="preserve">LinkedIn: https://www.linkedin.com/in/tom-deggs-ugbodaga-2306692bb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September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36"/>
          <w:szCs w:val="36"/>
        </w:rPr>
        <w:t xml:space="preserve">Prepared for grant, government, and institutional review</w:t>
      </w:r>
    </w:p>
    <w:p>
      <w:pPr>
        <w:pStyle w:val="Heading1"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SafeGuard is a Zeropay Digital Services Ltd venture (UK subsidiary of BETONIQ WEST LTD) — ScamShield fraud/romance-scam detection and SafeLink anonymous trafficking-victim support.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Key statistic: Romance and investment scams cost victims an estimated $10+ billion annually worldwide, and an estimated 27.6 million people are in situations of forced labor or trafficking (ILO/Walk Free).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Problem Statement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Victims of romance and investment fraud typically have no real-time warning system before money is sent, and trafficking victims often lack a safe, anonymous first step to seek help. SafeGuard is deliberately built as a prevention and victim-support tool, not a private enforcement tool.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Technical Architecture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ScamShield: NLP pattern-matching engine scores incoming message text against known scam tactics (urgency framing, fake investment returns, gift-card/wire requests).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ScamShield: perceptual image-hashing cross-references submitted profile photos against a crowdsourced reported-scammer database.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SafeLink: anonymous, non-attributable tip submission channel, routed directly to NAPTIP, IOM, and the National Human Trafficking Hotline.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SafeLink: location-based resource locator surfaces the nearest verified shelter or legal aid contact under time pressure.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Core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Entity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ScamReport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Submitted message/profile pattern, similarity score against known tactics.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ReportedProfile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Crowdsourced record of a reported scammer photo/profile, cross-referenced across submissions.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TraffickingTip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Anonymized tip submission, routed to the appropriate hotline/agency.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ResourceLocator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Verified shelter, legal aid, and NGO support resource by location.</w:t>
            </w:r>
          </w:p>
        </w:tc>
      </w:tr>
    </w:tbl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Security, Privacy &amp; Compliance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SafeLink tips are architecturally anonymous by default — no persistent identifying metadata retained unless the reporter explicitly opts 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ScamShield's reported-scammer database is moderated to prevent misuse for harassment; multiple corroborating reports required.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Explicit scope boundary: no surveillance, no narcotics-network targeting, no vigilante action — strictly prevention, detection, and routing to legitimate authorities.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Feasibility &amp; Build Status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Pattern-detection and anonymous-reporting architecture live on Hugging Face Spaces; NLP scam-pattern classifier running as a rule/keyword-scored MVP ahead of full model training.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Market Opportunity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Global online fraud-prevention software market projected to exceed $80B by 2030. Target beachhead: consumer scam-pattern detection in Nigeria and UK diaspora corridors.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Grant &amp; Funder Fit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Strong fit for anti-trafficking and consumer-protection funding: US J/TIP grants, EU Anti-Trafficking Action Grants, UNODC, and Google.org/Meta digital safety grants.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Funding Ask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$130,000 grant to launch ScamShield public beta + SafeLink hotline integration, 12 months.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6"/>
        <w:szCs w:val="3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2026-09-05T18:37:37.643Z</dcterms:created>
  <dcterms:modified xsi:type="dcterms:W3CDTF">2026-09-05T18:37:37.643Z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