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20"/>
          <w:szCs w:val="20"/>
        </w:rPr>
        <w:t xml:space="preserve">Sponsor: Tom Ugbodaga, Shareholder &amp; CEO</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World-Class Amenities, Security &amp; Infrastructure</w:t>
      </w:r>
    </w:p>
    <w:p>
      <w:pPr>
        <w:tabs>
          <w:tab w:val="right" w:pos="9026"/>
        </w:tabs>
        <w:spacing w:after="140"/>
      </w:pPr>
      <w:r>
        <w:rPr>
          <w:color w:val="0F2A3D"/>
          <w:sz w:val="24"/>
          <w:szCs w:val="24"/>
        </w:rPr>
        <w:t xml:space="preserve">6. International &amp; Local Investor Proposition</w:t>
      </w:r>
    </w:p>
    <w:p>
      <w:pPr>
        <w:tabs>
          <w:tab w:val="right" w:pos="9026"/>
        </w:tabs>
        <w:spacing w:after="140"/>
      </w:pPr>
      <w:r>
        <w:rPr>
          <w:color w:val="0F2A3D"/>
          <w:sz w:val="24"/>
          <w:szCs w:val="24"/>
        </w:rPr>
        <w:t xml:space="preserve">7. Development Phasing &amp; Timeline</w:t>
      </w:r>
    </w:p>
    <w:p>
      <w:pPr>
        <w:tabs>
          <w:tab w:val="right" w:pos="9026"/>
        </w:tabs>
        <w:spacing w:after="140"/>
      </w:pPr>
      <w:r>
        <w:rPr>
          <w:color w:val="0F2A3D"/>
          <w:sz w:val="24"/>
          <w:szCs w:val="24"/>
        </w:rPr>
        <w:t xml:space="preserve">8. Market Analysis &amp; Target Buyers</w:t>
      </w:r>
    </w:p>
    <w:p>
      <w:pPr>
        <w:tabs>
          <w:tab w:val="right" w:pos="9026"/>
        </w:tabs>
        <w:spacing w:after="140"/>
      </w:pPr>
      <w:r>
        <w:rPr>
          <w:color w:val="0F2A3D"/>
          <w:sz w:val="24"/>
          <w:szCs w:val="24"/>
        </w:rPr>
        <w:t xml:space="preserve">9. Financial Plan</w:t>
      </w:r>
    </w:p>
    <w:p>
      <w:pPr>
        <w:tabs>
          <w:tab w:val="right" w:pos="9026"/>
        </w:tabs>
        <w:spacing w:after="140"/>
      </w:pPr>
      <w:r>
        <w:rPr>
          <w:color w:val="0F2A3D"/>
          <w:sz w:val="24"/>
          <w:szCs w:val="24"/>
        </w:rPr>
        <w:t xml:space="preserve">10. Profitability Analysis</w:t>
      </w:r>
    </w:p>
    <w:p>
      <w:pPr>
        <w:tabs>
          <w:tab w:val="right" w:pos="9026"/>
        </w:tabs>
        <w:spacing w:after="140"/>
      </w:pPr>
      <w:r>
        <w:rPr>
          <w:color w:val="0F2A3D"/>
          <w:sz w:val="24"/>
          <w:szCs w:val="24"/>
        </w:rPr>
        <w:t xml:space="preserve">11. Legal, Regulatory &amp; Land Title Framework</w:t>
      </w:r>
    </w:p>
    <w:p>
      <w:pPr>
        <w:tabs>
          <w:tab w:val="right" w:pos="9026"/>
        </w:tabs>
        <w:spacing w:after="140"/>
      </w:pPr>
      <w:r>
        <w:rPr>
          <w:color w:val="0F2A3D"/>
          <w:sz w:val="24"/>
          <w:szCs w:val="24"/>
        </w:rPr>
        <w:t xml:space="preserve">12. Marketing &amp; Sales Strategy</w:t>
      </w:r>
    </w:p>
    <w:p>
      <w:pPr>
        <w:tabs>
          <w:tab w:val="right" w:pos="9026"/>
        </w:tabs>
        <w:spacing w:after="140"/>
      </w:pPr>
      <w:r>
        <w:rPr>
          <w:color w:val="0F2A3D"/>
          <w:sz w:val="24"/>
          <w:szCs w:val="24"/>
        </w:rPr>
        <w:t xml:space="preserve">13. Organizational Structure &amp; Management</w:t>
      </w:r>
    </w:p>
    <w:p>
      <w:pPr>
        <w:tabs>
          <w:tab w:val="right" w:pos="9026"/>
        </w:tabs>
        <w:spacing w:after="140"/>
      </w:pPr>
      <w:r>
        <w:rPr>
          <w:color w:val="0F2A3D"/>
          <w:sz w:val="24"/>
          <w:szCs w:val="24"/>
        </w:rPr>
        <w:t xml:space="preserve">14. SWOT Analysis</w:t>
      </w:r>
    </w:p>
    <w:p>
      <w:pPr>
        <w:tabs>
          <w:tab w:val="right" w:pos="9026"/>
        </w:tabs>
        <w:spacing w:after="140"/>
      </w:pPr>
      <w:r>
        <w:rPr>
          <w:color w:val="0F2A3D"/>
          <w:sz w:val="24"/>
          <w:szCs w:val="24"/>
        </w:rPr>
        <w:t xml:space="preserve">15. Risk Analysis &amp; Mitigation</w:t>
      </w:r>
    </w:p>
    <w:p>
      <w:pPr>
        <w:tabs>
          <w:tab w:val="right" w:pos="9026"/>
        </w:tabs>
        <w:spacing w:after="140"/>
      </w:pPr>
      <w:r>
        <w:rPr>
          <w:color w:val="0F2A3D"/>
          <w:sz w:val="24"/>
          <w:szCs w:val="24"/>
        </w:rPr>
        <w:t xml:space="preserve">16. Exit Strategy &amp; Long-Term Value Creation</w:t>
      </w:r>
    </w:p>
    <w:p>
      <w:pPr>
        <w:tabs>
          <w:tab w:val="right" w:pos="9026"/>
        </w:tabs>
        <w:spacing w:after="140"/>
      </w:pPr>
      <w:r>
        <w:rPr>
          <w:color w:val="0F2A3D"/>
          <w:sz w:val="24"/>
          <w:szCs w:val="24"/>
        </w:rPr>
        <w:t xml:space="preserve">17.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(18-hole executive-style layout)</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 each with a 2-bedroom self-contained BQ</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Revenue — Site &amp; Serviced Land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Sponsor</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BETONIQ WEST LTD — Tom Ugbodaga, Shareholder &amp; CEO</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8,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and infrastructure uses as summarized below and illustrated in Figure 1.</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Site &amp; Serviced Plots (for direct sale)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 Clubhouse, Hotel &amp; Shopping Village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8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 Hospital, School &amp; Apartments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Residential Duplexes (100 units)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Roads, Utilities &amp; Green Buffer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ha</w:t>
            </w:r>
          </w:p>
        </w:tc>
      </w:tr>
    </w:tbl>
    <w:p>
      <w:pPr>
        <w:spacing w:after="160" w:line="300"/>
        <w:jc w:val="both"/>
      </w:pPr>
      <w:r>
        <w:rPr>
          <w:i/>
          <w:iCs/>
          <w:color w:val="6B6B6B"/>
          <w:sz w:val="18"/>
          <w:szCs w:val="18"/>
        </w:rPr>
        <w:t xml:space="preserve">Note: the land use split above is an illustrative allocation consistent with the parameters provided; the precise boundaries will be finalized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designed as a full 18-hole golf course, using a compact executive-style layout (shorter par-3/par-4 holes and tighter routing) rather than a full championship-length course, which typically needs 45–60+ hectares. This design approach keeps all 18 holes on-site within the confirmed land parcel, alongside a signature clubhouse, practice range and pro-shop, without compromising playability or the safety buffers required around residential plots.</w:t>
      </w:r>
    </w:p>
    <w:p>
      <w:pPr>
        <w:pStyle w:val="Heading2"/>
        <w:spacing w:after="120" w:before="200"/>
      </w:pPr>
      <w:r>
        <w:t xml:space="preserve">4.2 Luxury Duplex Residences</w:t>
      </w:r>
    </w:p>
    <w:p>
      <w:pPr>
        <w:spacing w:after="160" w:line="300"/>
        <w:jc w:val="both"/>
      </w:pPr>
      <w:r>
        <w:t xml:space="preserve">Phase 1 residential product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A 2-bedroom, fully self-contained servant quarters (BQ) per duplex, with its own kitchenette, bathroom and private entrance, separate from the main house</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after="160" w:line="300"/>
        <w:jc w:val="both"/>
      </w:pPr>
      <w:r>
        <w:rPr>
          <w:i/>
          <w:iCs/>
          <w:color w:val="6B6B6B"/>
          <w:sz w:val="18"/>
          <w:szCs w:val="18"/>
        </w:rPr>
        <w:t xml:space="preserve">Fitting a 2-bedroom self-contained BQ onto the same 500 sqm plot as the main 4-bedroom duplex is achievable with careful massing (a compact single-storey BQ block to the rear or side of the plot), but it will meaningfully reduce garden/lawn area versus a BQ-free layout. This trade-off should be confirmed with the architect at detailed design stage; if more generous outdoor space is required, the plot size may need to increase beyond 500 sqm for some or all units.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School &amp; Expansion</w:t>
      </w:r>
    </w:p>
    <w:p>
      <w:pPr>
        <w:spacing w:after="160" w:line="300"/>
        <w:jc w:val="both"/>
      </w:pPr>
      <w:r>
        <w:t xml:space="preserve">A private hospital/wellness facility, an international-standard school, and additional apartment blocks complete the estate's four-pillar concept, extending the addressable market to healthcare users, families with school-age children, and smaller-household buyers not served by the Phase 1 duplex product. Together with the golf course, clubhouse and hotel, this gives the estate the full amenity set expected of a world-class luxury community rather than a purely residential development.</w:t>
      </w:r>
    </w:p>
    <w:p>
      <w:r>
        <w:br w:type="page"/>
      </w:r>
    </w:p>
    <w:p>
      <w:pPr>
        <w:pStyle w:val="Heading1"/>
        <w:spacing w:after="160" w:before="120"/>
      </w:pPr>
      <w:r>
        <w:t xml:space="preserve">5. World-Class Amenities, Security &amp; Infrastructure</w:t>
      </w:r>
    </w:p>
    <w:p>
      <w:pPr>
        <w:spacing w:after="160" w:line="300"/>
        <w:jc w:val="both"/>
      </w:pPr>
      <w:r>
        <w:t xml:space="preserve">To compete for both international and local capital, the estate is designed to match the amenity and security standard of benchmark luxury golf estates globally, not just the local Abuja market.</w:t>
      </w:r>
    </w:p>
    <w:p>
      <w:pPr>
        <w:pStyle w:val="Heading2"/>
        <w:spacing w:after="120" w:before="200"/>
      </w:pPr>
      <w:r>
        <w:t xml:space="preserve">5.1 Perimeter Security &amp; Access Control</w:t>
      </w:r>
    </w:p>
    <w:p>
      <w:pPr>
        <w:pStyle w:val="ListParagraph"/>
        <w:numPr>
          <w:ilvl w:val="0"/>
          <w:numId w:val="2"/>
        </w:numPr>
        <w:spacing w:after="90"/>
      </w:pPr>
      <w:r>
        <w:t xml:space="preserve">Full perimeter wall and fencing around the entire 77-hectare site, with anti-climb detailing and CCTV coverage.</w:t>
      </w:r>
    </w:p>
    <w:p>
      <w:pPr>
        <w:pStyle w:val="ListParagraph"/>
        <w:numPr>
          <w:ilvl w:val="0"/>
          <w:numId w:val="2"/>
        </w:numPr>
        <w:spacing w:after="90"/>
      </w:pPr>
      <w:r>
        <w:t xml:space="preserve">A landmark, architecturally distinctive gatehouse at the main entrance, manned 24/7, with visitor registration, vehicle screening and a dedicated staff/service entrance separate from the resident/visitor gate.</w:t>
      </w:r>
    </w:p>
    <w:p>
      <w:pPr>
        <w:pStyle w:val="ListParagraph"/>
        <w:numPr>
          <w:ilvl w:val="0"/>
          <w:numId w:val="2"/>
        </w:numPr>
        <w:spacing w:after="90"/>
      </w:pPr>
      <w:r>
        <w:t xml:space="preserve">Estate-wide security patrols, perimeter lighting and a central security control room linked to the clubhouse, hotel and residential zones.</w:t>
      </w:r>
    </w:p>
    <w:p>
      <w:pPr>
        <w:spacing w:before="200"/>
        <w:jc w:val="center"/>
      </w:pPr>
      <w:r>
        <w:drawing>
          <wp:inline distT="0" distB="0" distL="0" distR="0">
            <wp:extent cx="4000500" cy="2857500"/>
            <wp:effectExtent t="0" r="0" b="0" l="0"/>
            <wp:docPr id="1" name="Conceptual render of the estate gatehouse and entrance" descr="Conceptual render of the estate gatehouse and entrance" title="Conceptual render of the estate gatehouse and ent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before="60"/>
        <w:jc w:val="center"/>
      </w:pPr>
      <w:r>
        <w:rPr>
          <w:i/>
          <w:iCs/>
          <w:color w:val="6B6B6B"/>
          <w:sz w:val="18"/>
          <w:szCs w:val="18"/>
        </w:rPr>
        <w:t xml:space="preserve">Figure 7 — Conceptual render of the estate's gatehouse and main entrance (indicative only)</w:t>
      </w:r>
    </w:p>
    <w:p>
      <w:pPr>
        <w:pStyle w:val="Heading2"/>
        <w:spacing w:after="120" w:before="200"/>
      </w:pPr>
      <w:r>
        <w:t xml:space="preserve">5.2 Parking &amp; Vertical Infrastructure</w:t>
      </w:r>
    </w:p>
    <w:p>
      <w:pPr>
        <w:pStyle w:val="ListParagraph"/>
        <w:numPr>
          <w:ilvl w:val="0"/>
          <w:numId w:val="2"/>
        </w:numPr>
        <w:spacing w:after="90"/>
      </w:pPr>
      <w:r>
        <w:t xml:space="preserve">Basement car parking beneath the clubhouse, hotel and shopping village, reducing surface parking footprint and preserving landscaped and recreational areas at ground level.</w:t>
      </w:r>
    </w:p>
    <w:p>
      <w:pPr>
        <w:pStyle w:val="ListParagraph"/>
        <w:numPr>
          <w:ilvl w:val="0"/>
          <w:numId w:val="2"/>
        </w:numPr>
        <w:spacing w:after="90"/>
      </w:pPr>
      <w:r>
        <w:t xml:space="preserve">Each duplex retains a minimum of 2 dedicated surface parking spaces as specified in Section 4.2, in addition to estate-wide visitor parking near the gatehouse and clubhouse.</w:t>
      </w:r>
    </w:p>
    <w:p>
      <w:pPr>
        <w:pStyle w:val="Heading2"/>
        <w:spacing w:after="120" w:before="200"/>
      </w:pPr>
      <w:r>
        <w:t xml:space="preserve">5.3 Full Lifestyle &amp; Community Amenity Set</w:t>
      </w:r>
    </w:p>
    <w:p>
      <w:pPr>
        <w:pStyle w:val="ListParagraph"/>
        <w:numPr>
          <w:ilvl w:val="0"/>
          <w:numId w:val="2"/>
        </w:numPr>
        <w:spacing w:after="90"/>
      </w:pPr>
      <w:r>
        <w:t xml:space="preserve">Golf course, clubhouse, practice range and pro-shop (Phase 1).</w:t>
      </w:r>
    </w:p>
    <w:p>
      <w:pPr>
        <w:pStyle w:val="ListParagraph"/>
        <w:numPr>
          <w:ilvl w:val="0"/>
          <w:numId w:val="2"/>
        </w:numPr>
        <w:spacing w:after="90"/>
      </w:pPr>
      <w:r>
        <w:t xml:space="preserve">Boutique hotel and open-air shopping village (Phase 2).</w:t>
      </w:r>
    </w:p>
    <w:p>
      <w:pPr>
        <w:pStyle w:val="ListParagraph"/>
        <w:numPr>
          <w:ilvl w:val="0"/>
          <w:numId w:val="2"/>
        </w:numPr>
        <w:spacing w:after="90"/>
      </w:pPr>
      <w:r>
        <w:t xml:space="preserve">Private hospital/wellness facility and an international-standard school (Phase 3), so residents' healthcare and education needs are met within the estate.</w:t>
      </w:r>
    </w:p>
    <w:p>
      <w:pPr>
        <w:pStyle w:val="ListParagraph"/>
        <w:numPr>
          <w:ilvl w:val="0"/>
          <w:numId w:val="2"/>
        </w:numPr>
        <w:spacing w:after="90"/>
      </w:pPr>
      <w:r>
        <w:t xml:space="preserve">Swimming pool, gymnasium/spa, sports courts, children's play areas, jogging and cycling trails, and an event/banquet centre for weddings and functions.</w:t>
      </w:r>
    </w:p>
    <w:p>
      <w:pPr>
        <w:pStyle w:val="ListParagraph"/>
        <w:numPr>
          <w:ilvl w:val="0"/>
          <w:numId w:val="2"/>
        </w:numPr>
        <w:spacing w:after="90"/>
      </w:pPr>
      <w:r>
        <w:t xml:space="preserve">Estate-wide landscaping, green buffers and a dedicated facilities-management team for ongoing maintenance, security and utilities once phases are handed over.</w:t>
      </w:r>
    </w:p>
    <w:p>
      <w:pPr>
        <w:spacing w:after="160" w:line="300"/>
        <w:jc w:val="both"/>
      </w:pPr>
      <w:r>
        <w:t xml:space="preserve">This full amenity set is what elevates the project from a residential estate with a golf course attached, to a genuine self-contained, world-class luxury destination — the positioning basis for the investor proposition in Section 6.</w:t>
      </w:r>
    </w:p>
    <w:p>
      <w:r>
        <w:br w:type="page"/>
      </w:r>
    </w:p>
    <w:p>
      <w:pPr>
        <w:pStyle w:val="Heading1"/>
        <w:spacing w:after="160" w:before="120"/>
      </w:pPr>
      <w:r>
        <w:t xml:space="preserve">6. International &amp; Local Investor Proposition</w:t>
      </w:r>
    </w:p>
    <w:p>
      <w:pPr>
        <w:spacing w:after="160" w:line="300"/>
        <w:jc w:val="both"/>
      </w:pPr>
      <w:r>
        <w:t xml:space="preserve">The estate is being brought to market to attract both international and local capital, and the proposition is deliberately built to appeal to both audiences at once rather than treating them as separate products.</w:t>
      </w:r>
    </w:p>
    <w:p>
      <w:pPr>
        <w:pStyle w:val="Heading2"/>
        <w:spacing w:after="120" w:before="200"/>
      </w:pPr>
      <w:r>
        <w:t xml:space="preserve">6.1 For International Investors &amp; Diaspora</w:t>
      </w:r>
    </w:p>
    <w:p>
      <w:pPr>
        <w:pStyle w:val="ListParagraph"/>
        <w:numPr>
          <w:ilvl w:val="0"/>
          <w:numId w:val="2"/>
        </w:numPr>
        <w:spacing w:after="90"/>
      </w:pPr>
      <w:r>
        <w:t xml:space="preserve">A globally-benchmarked lifestyle asset in Nigeria's capital region — golf course, hotel, international school and hospital — comparable in amenity standard to golf estates diaspora investors already know from the UK, US, UAE and South Africa.</w:t>
      </w:r>
    </w:p>
    <w:p>
      <w:pPr>
        <w:pStyle w:val="ListParagraph"/>
        <w:numPr>
          <w:ilvl w:val="0"/>
          <w:numId w:val="2"/>
        </w:numPr>
        <w:spacing w:after="90"/>
      </w:pPr>
      <w:r>
        <w:t xml:space="preserve">A tangible, income-generating real asset (land, villas, hospitality and retail income) as a diversification option outside of equities and venture-style risk.</w:t>
      </w:r>
    </w:p>
    <w:p>
      <w:pPr>
        <w:pStyle w:val="ListParagraph"/>
        <w:numPr>
          <w:ilvl w:val="0"/>
          <w:numId w:val="2"/>
        </w:numPr>
        <w:spacing w:after="90"/>
      </w:pPr>
      <w:r>
        <w:t xml:space="preserve">Full self-contained security and infrastructure (Section 5) addressing the safety and reliability concerns that are typically the biggest hesitation for diaspora and foreign buyers investing in Nigerian real estate.</w:t>
      </w:r>
    </w:p>
    <w:p>
      <w:pPr>
        <w:pStyle w:val="Heading2"/>
        <w:spacing w:after="120" w:before="200"/>
      </w:pPr>
      <w:r>
        <w:t xml:space="preserve">6.2 For Local Investors &amp; High-Net-Worth Nigerians</w:t>
      </w:r>
    </w:p>
    <w:p>
      <w:pPr>
        <w:pStyle w:val="ListParagraph"/>
        <w:numPr>
          <w:ilvl w:val="0"/>
          <w:numId w:val="2"/>
        </w:numPr>
        <w:spacing w:after="90"/>
      </w:pPr>
      <w:r>
        <w:t xml:space="preserve">A rare, credible golf-anchored address in the FCT, at a stage (pre-construction/early Phase 1) where site-and-serviced land and early duplex releases are priced ahead of the value uplift that comes once the golf course, clubhouse and hotel are visibly under construction.</w:t>
      </w:r>
    </w:p>
    <w:p>
      <w:pPr>
        <w:pStyle w:val="ListParagraph"/>
        <w:numPr>
          <w:ilvl w:val="0"/>
          <w:numId w:val="2"/>
        </w:numPr>
        <w:spacing w:after="90"/>
      </w:pPr>
      <w:r>
        <w:t xml:space="preserve">A four-pillar community (Live/Work/Heal/Relax) that reduces dependence on off-estate infrastructure for healthcare, schooling, retail and hospitality — a strong differentiator versus purely residential estates in the same corridor.</w:t>
      </w:r>
    </w:p>
    <w:p>
      <w:pPr>
        <w:pStyle w:val="Heading2"/>
        <w:spacing w:after="120" w:before="200"/>
      </w:pPr>
      <w:r>
        <w:t xml:space="preserve">6.3 Structuring the Ask</w:t>
      </w:r>
    </w:p>
    <w:p>
      <w:pPr>
        <w:pStyle w:val="ListParagraph"/>
        <w:numPr>
          <w:ilvl w:val="0"/>
          <w:numId w:val="2"/>
        </w:numPr>
        <w:spacing w:after="90"/>
      </w:pPr>
      <w:r>
        <w:t xml:space="preserve">Direct plot and duplex sales (Section 7) remain the primary entry point for both audiences.</w:t>
      </w:r>
    </w:p>
    <w:p>
      <w:pPr>
        <w:pStyle w:val="ListParagraph"/>
        <w:numPr>
          <w:ilvl w:val="0"/>
          <w:numId w:val="2"/>
        </w:numPr>
        <w:spacing w:after="90"/>
      </w:pPr>
      <w:r>
        <w:t xml:space="preserve">A structured investment/partnership route (equity or profit-share in the Phase 2/3 income-producing assets — hotel, shopping village, hospital, school) can be offered to institutional or larger-ticket international and local investors who want exposure to the estate's recurring income rather than a single unit or plot.</w:t>
      </w:r>
    </w:p>
    <w:p>
      <w:pPr>
        <w:spacing w:after="160" w:line="300"/>
        <w:jc w:val="both"/>
      </w:pPr>
      <w:r>
        <w:t xml:space="preserve">This dual-track approach lets the project raise capital broadly across retail buyers (plots/duplexes) and larger investors (Phase 2/3 income assets) without relying on any single investor class to reach the ₦50 billion Phase 1 revenue target in Section 7.</w:t>
      </w:r>
    </w:p>
    <w:p>
      <w:r>
        <w:br w:type="page"/>
      </w:r>
    </w:p>
    <w:p>
      <w:pPr>
        <w:pStyle w:val="Heading1"/>
        <w:spacing w:after="160" w:before="120"/>
      </w:pPr>
      <w:r>
        <w:t xml:space="preserve">7.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8.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healthcare/education users for the Phase 3 hospital and international school.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9.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9.1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up to ₦24.17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bl>
    <w:p>
      <w:pPr>
        <w:pStyle w:val="Heading2"/>
        <w:spacing w:after="120" w:before="200"/>
      </w:pPr>
      <w:r>
        <w:t xml:space="preserve">9.2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Site &amp; Serviced Land Sales (Phase 1)</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Unit Sales (100 units)*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Hotel &amp; Shopping Village Income*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Hospital, School &amp; Apartments Income*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bl>
    <w:p>
      <w:pPr>
        <w:spacing w:after="160" w:line="300"/>
        <w:jc w:val="both"/>
      </w:pPr>
      <w:r>
        <w:rPr>
          <w:i/>
          <w:iCs/>
          <w:color w:val="6B6B6B"/>
          <w:sz w:val="18"/>
          <w:szCs w:val="18"/>
        </w:rPr>
        <w:t xml:space="preserve">The ₦50 billion Phase 1 land-sale revenue figure is treated as the base-case, conservative revenue line for this plan. Duplex sales and Phase 2/3 hospitality, retail and healthcare income are real, additional revenue streams but are deliberately excluded from the base-case ROI calculation in Section 8 so that the headline return is not overstated.</w:t>
      </w:r>
    </w:p>
    <w:p>
      <w:r>
        <w:br w:type="page"/>
      </w:r>
    </w:p>
    <w:p>
      <w:pPr>
        <w:pStyle w:val="Heading1"/>
        <w:spacing w:after="160" w:before="120"/>
      </w:pPr>
      <w:r>
        <w:t xml:space="preserve">10. Profitability Analysis</w:t>
      </w:r>
    </w:p>
    <w:p>
      <w:pPr>
        <w:pStyle w:val="Heading2"/>
        <w:spacing w:after="120" w:before="200"/>
      </w:pPr>
      <w:r>
        <w:t xml:space="preserve">10.1 Base-Case Return (Stated Costs Only)</w:t>
      </w:r>
    </w:p>
    <w:p>
      <w:pPr>
        <w:spacing w:after="160" w:line="300"/>
        <w:jc w:val="both"/>
      </w:pPr>
      <w:r>
        <w:t xml:space="preserve">Using only the costs explicitly stated in the brief — land acquisition (₦2.5B) and duplex construction (₦15B), total ₦17.5B — against the ₦50B Phase 1 land-sale revenue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Revenue (Site &amp; Serviced Land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≈185.7%</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65%</w:t>
            </w:r>
          </w:p>
        </w:tc>
      </w:tr>
    </w:tbl>
    <w:p>
      <w:pPr>
        <w:pStyle w:val="Heading2"/>
        <w:spacing w:after="120" w:before="200"/>
      </w:pPr>
      <w:r>
        <w:t xml:space="preserve">10.2 Stress-Tested Return (Maximum Cost Buffer)</w:t>
      </w:r>
    </w:p>
    <w:p>
      <w:pPr>
        <w:spacing w:after="160" w:line="300"/>
        <w:jc w:val="both"/>
      </w:pPr>
      <w:r>
        <w:t xml:space="preserve">To test how much room the project has for costs not itemized in the brief — golf course construction, clubhouse, roads, drainage, power, water, marketing and contingency — the analysis solves for the maximum total cost that still clears the 20% minimum ROI, holding revenue fixed at ₦50B: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₦24.17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₦8.33 billion</w:t>
            </w:r>
          </w:p>
        </w:tc>
      </w:tr>
    </w:tbl>
    <w:p>
      <w:pPr>
        <w:spacing w:after="160" w:line="300"/>
        <w:jc w:val="both"/>
      </w:pPr>
      <w:r>
        <w:t xml:space="preserve">In other words, the project can absorb up to ₦24.17 billion in additional, currently unquantified development costs — golf course construction, clubhouse, site infrastructure, marketing and contingency — and still deliver at least the 20% minimum return the sponsor has set, based on Phase 1 land sales alone. Any revenue from duplex sales or Phase 2/3 hospitality, retail and healthcare operations sits entirely on top of this floor as additional upside.</w:t>
      </w:r>
    </w:p>
    <w:p>
      <w:pPr>
        <w:pStyle w:val="Heading2"/>
        <w:spacing w:after="120" w:before="200"/>
      </w:pPr>
      <w:r>
        <w:t xml:space="preserve">10.3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r>
        <w:br w:type="page"/>
      </w:r>
    </w:p>
    <w:p>
      <w:pPr>
        <w:pStyle w:val="Heading1"/>
        <w:spacing w:after="160" w:before="120"/>
      </w:pPr>
      <w:r>
        <w:t xml:space="preserve">11.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11.1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11.2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11.3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5, and should be tracked on a dedicated compliance checklist owned by the project's legal counsel.</w:t>
      </w:r>
    </w:p>
    <w:p>
      <w:r>
        <w:br w:type="page"/>
      </w:r>
    </w:p>
    <w:p>
      <w:pPr>
        <w:pStyle w:val="Heading1"/>
        <w:spacing w:after="160" w:before="120"/>
      </w:pPr>
      <w:r>
        <w:t xml:space="preserve">12. Marketing &amp; Sales Strategy</w:t>
      </w:r>
    </w:p>
    <w:p>
      <w:pPr>
        <w:pStyle w:val="Heading2"/>
        <w:spacing w:after="120" w:before="200"/>
      </w:pPr>
      <w:r>
        <w:t xml:space="preserve">12.1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12.2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12.3 Pricing &amp; Release Strategy</w:t>
      </w:r>
    </w:p>
    <w:p>
      <w:pPr>
        <w:pStyle w:val="ListParagraph"/>
        <w:numPr>
          <w:ilvl w:val="0"/>
          <w:numId w:val="2"/>
        </w:numPr>
        <w:spacing w:after="90"/>
      </w:pPr>
      <w:r>
        <w:t xml:space="preserve">Site-and-serviced plots released in tranches rather than all at once, supporting price appreciation across the ₦50 billion Phase 1 land-sale target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5.</w:t>
      </w:r>
    </w:p>
    <w:p>
      <w:r>
        <w:br w:type="page"/>
      </w:r>
    </w:p>
    <w:p>
      <w:pPr>
        <w:pStyle w:val="Heading1"/>
        <w:spacing w:after="160" w:before="120"/>
      </w:pPr>
      <w:r>
        <w:t xml:space="preserve">13. Organizational Structure &amp; Management</w:t>
      </w:r>
    </w:p>
    <w:p>
      <w:pPr>
        <w:pStyle w:val="Heading2"/>
        <w:spacing w:after="120" w:before="200"/>
      </w:pPr>
      <w:r>
        <w:t xml:space="preserve">13.1 Sponsor</w:t>
      </w:r>
    </w:p>
    <w:p>
      <w:pPr>
        <w:spacing w:after="160" w:line="300"/>
        <w:jc w:val="both"/>
      </w:pPr>
      <w:r>
        <w:t xml:space="preserve">The project is sponsored by BETONIQ WEST LTD, led by Tom Ugbodaga, Shareholder &amp; CEO.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13.2 Delivery Team</w:t>
      </w:r>
    </w:p>
    <w:p>
      <w:pPr>
        <w:pStyle w:val="ListParagraph"/>
        <w:numPr>
          <w:ilvl w:val="0"/>
          <w:numId w:val="2"/>
        </w:numPr>
        <w:spacing w:after="90"/>
      </w:pPr>
      <w:r>
        <w:t xml:space="preserve">Project Sponsor / Development Lead — BETONIQ WEST LTD (Tom Ugbodaga, Shareholder &amp; CEO).</w:t>
      </w:r>
    </w:p>
    <w:p>
      <w:pPr>
        <w:pStyle w:val="ListParagraph"/>
        <w:numPr>
          <w:ilvl w:val="0"/>
          <w:numId w:val="2"/>
        </w:numPr>
        <w:spacing w:after="90"/>
      </w:pPr>
      <w:r>
        <w:t xml:space="preserve">Golf Course Architect — to be engaged for the 18-hole executive-layout design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8.</w:t>
      </w:r>
    </w:p>
    <w:p>
      <w:pPr>
        <w:pStyle w:val="ListParagraph"/>
        <w:numPr>
          <w:ilvl w:val="0"/>
          <w:numId w:val="2"/>
        </w:numPr>
        <w:spacing w:after="90"/>
      </w:pPr>
      <w:r>
        <w:t xml:space="preserve">Legal Counsel — responsible for the land title and regulatory workstream in Section 9.</w:t>
      </w:r>
    </w:p>
    <w:p>
      <w:pPr>
        <w:pStyle w:val="ListParagraph"/>
        <w:numPr>
          <w:ilvl w:val="0"/>
          <w:numId w:val="2"/>
        </w:numPr>
        <w:spacing w:after="90"/>
      </w:pPr>
      <w:r>
        <w:t xml:space="preserve">Sales &amp; Marketing Lead — responsible for executing the strategy in Section 10.</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14.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pPr>
              <w:spacing w:after="100"/>
            </w:pPr>
            <w:r>
              <w:rPr>
                <w:b/>
                <w:bCs/>
                <w:color w:val="0F2A3D"/>
                <w:sz w:val="22"/>
                <w:szCs w:val="22"/>
              </w:rPr>
              <w:t xml:space="preserve">Strengths</w:t>
            </w:r>
          </w:p>
          <w:p>
            <w:pPr>
              <w:pStyle w:val="ListParagraph"/>
              <w:numPr>
                <w:ilvl w:val="0"/>
                <w:numId w:val="2"/>
              </w:numPr>
              <w:spacing w:after="60"/>
            </w:pPr>
            <w:r>
              <w:rPr>
                <w:sz w:val="19"/>
                <w:szCs w:val="19"/>
              </w:rPr>
              <w:t xml:space="preserve">Genuine golf-course anchor — rare in the Abuja market</w:t>
            </w:r>
          </w:p>
          <w:p>
            <w:pPr>
              <w:pStyle w:val="ListParagraph"/>
              <w:numPr>
                <w:ilvl w:val="0"/>
                <w:numId w:val="2"/>
              </w:numPr>
              <w:spacing w:after="60"/>
            </w:pPr>
            <w:r>
              <w:rPr>
                <w:sz w:val="19"/>
                <w:szCs w:val="19"/>
              </w:rPr>
              <w:t xml:space="preserve">Phased, self-funding structure limits upfront capital exposure</w:t>
            </w:r>
          </w:p>
          <w:p>
            <w:pPr>
              <w:pStyle w:val="ListParagraph"/>
              <w:numPr>
                <w:ilvl w:val="0"/>
                <w:numId w:val="2"/>
              </w:numPr>
              <w:spacing w:after="60"/>
            </w:pPr>
            <w:r>
              <w:rPr>
                <w:sz w:val="19"/>
                <w:szCs w:val="19"/>
              </w:rPr>
              <w:t xml:space="preserve">Four-pillar concept (Live/Work/Heal/Relax) broadens the buyer base</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pPr>
              <w:spacing w:after="100"/>
            </w:pPr>
            <w:r>
              <w:rPr>
                <w:b/>
                <w:bCs/>
                <w:color w:val="0F2A3D"/>
                <w:sz w:val="22"/>
                <w:szCs w:val="22"/>
              </w:rPr>
              <w:t xml:space="preserve">Weaknesses</w:t>
            </w:r>
          </w:p>
          <w:p>
            <w:pPr>
              <w:pStyle w:val="ListParagraph"/>
              <w:numPr>
                <w:ilvl w:val="0"/>
                <w:numId w:val="2"/>
              </w:numPr>
              <w:spacing w:after="60"/>
            </w:pPr>
            <w:r>
              <w:rPr>
                <w:sz w:val="19"/>
                <w:szCs w:val="19"/>
              </w:rPr>
              <w:t xml:space="preserve">27 ha golf course requires a compact executive design, not full championship length</w:t>
            </w:r>
          </w:p>
          <w:p>
            <w:pPr>
              <w:pStyle w:val="ListParagraph"/>
              <w:numPr>
                <w:ilvl w:val="0"/>
                <w:numId w:val="2"/>
              </w:numPr>
              <w:spacing w:after="60"/>
            </w:pPr>
            <w:r>
              <w:rPr>
                <w:sz w:val="19"/>
                <w:szCs w:val="19"/>
              </w:rPr>
              <w:t xml:space="preserve">Several revenue lines (duplex sales, Phase 2/3 income) are not yet priced</w:t>
            </w:r>
          </w:p>
          <w:p>
            <w:pPr>
              <w:pStyle w:val="ListParagraph"/>
              <w:numPr>
                <w:ilvl w:val="0"/>
                <w:numId w:val="2"/>
              </w:numPr>
              <w:spacing w:after="60"/>
            </w:pPr>
            <w:r>
              <w:rPr>
                <w:sz w:val="19"/>
                <w:szCs w:val="19"/>
              </w:rPr>
              <w:t xml:space="preserve">Dependent on land title perfection and FCDA approvals before launch</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15.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Golf course, clubhouse &amp; infrastructure costs exceed the ₦24.17B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16.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and international school, potentially in partnership with a healthcare operator and an education operator respectively.</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7–8)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17. Implementation Roadmap &amp; Conclusion</w:t>
      </w:r>
    </w:p>
    <w:p>
      <w:pPr>
        <w:pStyle w:val="Heading2"/>
        <w:spacing w:after="120" w:before="200"/>
      </w:pPr>
      <w:r>
        <w:t xml:space="preserve">17.1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8.</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school &amp; apartments) as Phase 1 sales proceeds are realized.</w:t>
      </w:r>
    </w:p>
    <w:p>
      <w:pPr>
        <w:pStyle w:val="Heading2"/>
        <w:spacing w:after="120" w:before="200"/>
      </w:pPr>
      <w:r>
        <w:t xml:space="preserve">17.2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 xml:space="preserve">Unit count of 100 luxury duplexes is derived from ₦15B total construction cost ÷ ₦150M per unit (to carcass level), as stated in the brief.</w:t>
      </w:r>
    </w:p>
    <w:p>
      <w:pPr>
        <w:pStyle w:val="ListParagraph"/>
        <w:numPr>
          <w:ilvl w:val="0"/>
          <w:numId w:val="2"/>
        </w:numPr>
        <w:spacing w:after="90"/>
      </w:pPr>
      <w:r>
        <w:t xml:space="preserve">Land use allocation (Section 3) is an illustrative split consistent with the stated parameters; it is not yet based on a surveyed site plan.</w:t>
      </w:r>
    </w:p>
    <w:p>
      <w:pPr>
        <w:pStyle w:val="ListParagraph"/>
        <w:numPr>
          <w:ilvl w:val="0"/>
          <w:numId w:val="2"/>
        </w:numPr>
        <w:spacing w:after="90"/>
      </w:pPr>
      <w:r>
        <w:t xml:space="preserve">The golf course is designed as a full 18-hole course fitted onto the confirmed 27 hectares using a compact, executive-style routing (shorter holes, tighter layout) rather than a full championship-length course, which would typically require 45–60+ ha. This keeps the 18-hole feature the user requires while remaining honest about the land-area trade-off; final hole-by-hole routing should be confirmed by a golf course architect.</w:t>
      </w:r>
    </w:p>
    <w:p>
      <w:pPr>
        <w:pStyle w:val="ListParagraph"/>
        <w:numPr>
          <w:ilvl w:val="0"/>
          <w:numId w:val="2"/>
        </w:numPr>
        <w:spacing w:after="90"/>
      </w:pPr>
      <w:r>
        <w:t xml:space="preserve">The ₦24.17B cost buffer (golf course, clubhouse, infrastructure, marketing, contingency) is a derived ceiling — the maximum spend that still clears the 20% ROI floor on ₦50B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8,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9594d038456bd8b2f4e6f514fd429573c4aabeb7.png"/><Relationship Id="rId11" Type="http://schemas.openxmlformats.org/officeDocument/2006/relationships/image" Target="media/5f564c1186f724c4845601bf1938507882c72269.png"/><Relationship Id="rId12" Type="http://schemas.openxmlformats.org/officeDocument/2006/relationships/image" Target="media/b3c5497dfcf8f0d1a3f8345664fbbd376a0a1ae3.png"/><Relationship Id="rId13" Type="http://schemas.openxmlformats.org/officeDocument/2006/relationships/image" Target="media/8380ee56fe1db85028fa71ebf3cb06b87a8f225d.png"/><Relationship Id="rId14" Type="http://schemas.openxmlformats.org/officeDocument/2006/relationships/image" Target="media/8b1624d89360f65e4d7f8ba3910abeea95750019.png"/><Relationship Id="rId15" Type="http://schemas.openxmlformats.org/officeDocument/2006/relationships/image" Target="media/df17ab97f45138f40a0e6c451dce9a951b58ba4a.png"/><Relationship Id="rId16" Type="http://schemas.openxmlformats.org/officeDocument/2006/relationships/image" Target="media/7629ff86db5081a23da9e3eb3638d4f419147dd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2026-09-08T19:14:59.893Z</dcterms:created>
  <dcterms:modified xsi:type="dcterms:W3CDTF">2026-09-08T19:14:59.900Z</dcterms:modified>
</cp:coreProperties>
</file>

<file path=docProps/custom.xml><?xml version="1.0" encoding="utf-8"?>
<Properties xmlns="http://schemas.openxmlformats.org/officeDocument/2006/custom-properties" xmlns:vt="http://schemas.openxmlformats.org/officeDocument/2006/docPropsVTypes"/>
</file>