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AIR VICE MARSHAL MONDAY RIKU MORGAN (RTD)</w:t>
      </w:r>
    </w:p>
    <w:p>
      <w:pPr>
        <w:spacing w:after="200"/>
        <w:jc w:val="center"/>
      </w:pPr>
      <w:r>
        <w:rPr>
          <w:i/>
          <w:iCs/>
          <w:sz w:val="24"/>
          <w:szCs w:val="24"/>
        </w:rPr>
        <w:t xml:space="preserve">Former Chief of Defence Intelligence</w:t>
      </w:r>
    </w:p>
    <w:p>
      <w:pPr>
        <w:spacing w:after="400"/>
        <w:jc w:val="center"/>
      </w:pPr>
      <w:r>
        <w:rPr>
          <w:b/>
          <w:bCs/>
          <w:sz w:val="26"/>
          <w:szCs w:val="26"/>
        </w:rPr>
        <w:t xml:space="preserve">North-Central Nigeria Security Summit — 30-Minute Keynote</w:t>
      </w:r>
    </w:p>
    <w:p>
      <w:pPr>
        <w:jc w:val="center"/>
      </w:pPr>
      <w:r>
        <w:rPr>
          <w:b/>
          <w:bCs/>
          <w:sz w:val="24"/>
          <w:szCs w:val="24"/>
        </w:rPr>
        <w:t xml:space="preserve">Collaborative Approaches to Strengthening Security in North-Central Nigeria</w:t>
      </w:r>
    </w:p>
    <w:p>
      <w:pPr>
        <w:spacing w:after="400"/>
        <w:jc w:val="center"/>
      </w:pPr>
      <w:r>
        <w:rPr>
          <w:i/>
          <w:iCs/>
          <w:sz w:val="22"/>
          <w:szCs w:val="22"/>
        </w:rPr>
        <w:t xml:space="preserve">Towards a People-Centred, Intelligence-Led and Sustainable Security Architecture</w:t>
      </w:r>
    </w:p>
    <w:p>
      <w:r>
        <w:br w:type="page"/>
      </w:r>
    </w:p>
    <w:p>
      <w:pPr>
        <w:pStyle w:val="Heading1"/>
        <w:spacing w:after="150" w:before="300"/>
      </w:pPr>
      <w:r>
        <w:t xml:space="preserve">OPENING: ONE ECOSYSTEM, NOT SEPARATE PROBLEMS</w:t>
      </w:r>
    </w:p>
    <w:p>
      <w:pPr>
        <w:spacing w:after="200" w:line="360"/>
        <w:jc w:val="both"/>
      </w:pPr>
      <w:r>
        <w:t>Nigeria's security architecture today sits at a genuine inflection point. Insurgency in the North-East has evolved and, in places, converged with banditry corridors further west and south. Farmer-herder conflict across the Middle Belt has intensified rather than eased over the past three years, and here in North-Central Nigeria we feel that intensification most directly.</w:t>
      </w:r>
    </w:p>
    <w:p>
      <w:pPr>
        <w:spacing w:after="200" w:line="360"/>
        <w:jc w:val="both"/>
      </w:pPr>
      <w:r>
        <w:t>In December 2023, over one hundred and forty people were killed across more than seventeen rural communities in Plateau State in a single coordinated wave of Christmas Eve attacks. Barely a month later, in January 2024, at least thirty more people were killed in further attacks around Mangu town. This was not a one-off spike. Between May 2023 and May 2025, one thousand and forty-three people were killed in Benue State alone. And the single deadliest recent incident came on the night of the thirteenth and fourteenth of June 2025, when the Yelwata massacre in Guma Local Government Area of Benue State killed at least one hundred and fifty to one hundred and sixty people in one night — an incident so severe that Nigeria formally charged nine men with terrorism over it in February of this year, and one that moved even Pope Leo to publicly pray for the victims at his Sunday Angelus.</w:t>
      </w:r>
    </w:p>
    <w:p>
      <w:pPr>
        <w:spacing w:after="200" w:line="360"/>
        <w:jc w:val="both"/>
      </w:pPr>
      <w:r>
        <w:t>The human cost compounds directly into displacement. As of the thirty-first of December 2024, five hundred thousand, one hundred and eighty-two people were already living in displacement camps in Benue State alone. By October 2025, North-Central and North-West Nigeria combined were hosting one million, three hundred and seventy-eight thousand, one hundred and twenty-four internally displaced persons. These are not abstract statistics. They are mothers, farmers, and traditional rulers — the very people I want this address to speak for.</w:t>
      </w:r>
    </w:p>
    <w:p>
      <w:pPr>
        <w:spacing w:after="200" w:line="360"/>
        <w:jc w:val="both"/>
      </w:pPr>
      <w:r>
        <w:rPr>
          <w:sz w:val="24"/>
          <w:szCs w:val="24"/>
        </w:rPr>
        <w:t xml:space="preserve">My central argument today is simple to state and difficult to achieve: North-Central Nigeria cannot defeat insecurity through military operations alone. History has tried to teach us this lesson repeatedly, in Nigeria and elsewhere, and we would do well to finally learn it. What this region requires is a permanent partnership between the military, the police, the intelligence services, state and local governments, traditional institutions, communities, technology providers, and citizens themselves. Not a temporary task force. Not another committee. A permanent architecture.</w:t>
      </w:r>
    </w:p>
    <w:p>
      <w:pPr>
        <w:spacing w:after="100"/>
      </w:pPr>
    </w:p>
    <w:p>
      <w:pPr>
        <w:pStyle w:val="Heading1"/>
        <w:spacing w:after="150" w:before="300"/>
      </w:pPr>
      <w:r>
        <w:t xml:space="preserve">SECTION ONE: THE NORTH-CENTRAL SECURITY QUESTION</w:t>
      </w:r>
    </w:p>
    <w:p>
      <w:pPr>
        <w:spacing w:after="200" w:line="360"/>
        <w:jc w:val="both"/>
      </w:pPr>
      <w:r>
        <w:rPr>
          <w:sz w:val="24"/>
          <w:szCs w:val="24"/>
        </w:rPr>
        <w:t xml:space="preserve">Benue, Kogi, Kwara, Nasarawa, Niger, Plateau, and the Federal Capital Territory form the bridge between the north and south of this country. They contain our major agricultural belts, our forests, our highways, our energy infrastructure. And increasingly, they contain terrorism and infiltration, banditry, kidnapping for ransom, farmer-herder conflict, communal violence, arms trafficking, illegal mining, rural criminality, and the steady recruitment of our youth into criminal networks.</w:t>
      </w:r>
    </w:p>
    <w:p>
      <w:pPr>
        <w:spacing w:after="200" w:line="360"/>
        <w:jc w:val="both"/>
      </w:pPr>
      <w:r>
        <w:rPr>
          <w:sz w:val="24"/>
          <w:szCs w:val="24"/>
        </w:rPr>
        <w:t xml:space="preserve">The Armed Conflict Location and Event Data Project, ACLED, has recorded hundreds of security incidents and substantial fatalities across Benue, Plateau and Niger between January 2024 and December 2025. Niger State and parts of Kwara face terrorist activity and the cross-border movement of armed groups. The evidence is not ambiguous. The enemy does not respect state boundaries. Why, then, should our response?</w:t>
      </w:r>
    </w:p>
    <w:p>
      <w:pPr>
        <w:spacing w:after="100"/>
      </w:pPr>
    </w:p>
    <w:p>
      <w:pPr>
        <w:pStyle w:val="Heading1"/>
        <w:spacing w:after="150" w:before="300"/>
      </w:pPr>
      <w:r>
        <w:t xml:space="preserve">SECTION TWO: THE CENTRAL PROBLEM — WE ARE TOO REACTIVE</w:t>
      </w:r>
    </w:p>
    <w:p>
      <w:pPr>
        <w:spacing w:after="200" w:line="360"/>
        <w:jc w:val="both"/>
      </w:pPr>
      <w:r>
        <w:rPr>
          <w:sz w:val="24"/>
          <w:szCs w:val="24"/>
        </w:rPr>
        <w:t xml:space="preserve">Look honestly at the cycle we have normalised. An attack occurs. People are killed. Police are alerted. The military is mobilised. The attackers vanish. The community is searched. We wait. This is a cycle of reaction without prevention, and no amount of additional manpower fixes a cycle that is structurally reactive.</w:t>
      </w:r>
    </w:p>
    <w:p>
      <w:pPr>
        <w:spacing w:after="200" w:line="360"/>
        <w:jc w:val="both"/>
      </w:pPr>
      <w:r>
        <w:rPr>
          <w:sz w:val="24"/>
          <w:szCs w:val="24"/>
        </w:rPr>
        <w:t xml:space="preserve">We saw a version of this same trap in Colombia through the 1990s, where purely kinetic operations against armed groups produced tactical wins without strategic progress, until the state paired military pressure with local intelligence networks and community reintegration — the approach that eventually underpinned Plan Colombia's later, more durable gains. We must make the same shift here, and we must make it deliberately. The question we ask ourselves must change. Not "an attack has occurred, what do we do?" but "what is the probability of an attack, and what can we do today to prevent it?"</w:t>
      </w:r>
    </w:p>
    <w:p>
      <w:pPr>
        <w:spacing w:after="100"/>
      </w:pPr>
    </w:p>
    <w:p>
      <w:pPr>
        <w:pStyle w:val="Heading1"/>
        <w:spacing w:after="150" w:before="300"/>
      </w:pPr>
      <w:r>
        <w:t xml:space="preserve">SECTION THREE: SECURITY AS COLLECTIVE RESPONSIBILITY</w:t>
      </w:r>
    </w:p>
    <w:p>
      <w:pPr>
        <w:spacing w:after="200" w:line="360"/>
        <w:jc w:val="both"/>
      </w:pPr>
      <w:r>
        <w:rPr>
          <w:sz w:val="24"/>
          <w:szCs w:val="24"/>
        </w:rPr>
        <w:t xml:space="preserve">No single agency can do everything. But together, our agencies can know almost everything that matters. This requires five disciplines operating as one cycle: we must SEE, by collecting information; we must SHARE, by moving it fast to those who need it; we must DECIDE, by establishing clear responsibility and command; we must ACT, by responding proportionately and rapidly; and we must LEARN, by analysing what happened and preventing its repetition.</w:t>
      </w:r>
    </w:p>
    <w:p>
      <w:pPr>
        <w:spacing w:after="100"/>
      </w:pPr>
    </w:p>
    <w:p>
      <w:pPr>
        <w:pStyle w:val="Heading1"/>
        <w:spacing w:after="150" w:before="300"/>
      </w:pPr>
      <w:r>
        <w:t xml:space="preserve">SECTION FOUR: ONE SECURITY PICTURE, MULTIPLE CAPABILITIES</w:t>
      </w:r>
    </w:p>
    <w:p>
      <w:pPr>
        <w:spacing w:after="200" w:line="360"/>
        <w:jc w:val="both"/>
      </w:pPr>
      <w:r>
        <w:rPr>
          <w:sz w:val="24"/>
          <w:szCs w:val="24"/>
        </w:rPr>
        <w:t xml:space="preserve">The Armed Forces, the Police Force, the DSS, the NSCDC, the NDLEA and Customs, State Security Councils, Local Government structures, Traditional Institutions, and Community and Civil Society organisations each hold a piece of the picture. None of them, alone, holds the whole picture. The intelligence value — the real operational value — is created only when these pieces are fused into one threat picture. This is not a philosophical point. It is the single most practical reform available to us, and it costs far less than another battalion.</w:t>
      </w:r>
    </w:p>
    <w:p>
      <w:pPr>
        <w:spacing w:after="100"/>
      </w:pPr>
    </w:p>
    <w:p>
      <w:pPr>
        <w:pStyle w:val="Heading1"/>
        <w:spacing w:after="150" w:before="300"/>
      </w:pPr>
      <w:r>
        <w:t xml:space="preserve">SECTION FIVE: A REGIONAL SECURITY INTELLIGENCE AND FUSION CENTRE</w:t>
      </w:r>
    </w:p>
    <w:p>
      <w:pPr>
        <w:spacing w:after="200" w:line="360"/>
        <w:jc w:val="both"/>
      </w:pPr>
      <w:r>
        <w:rPr>
          <w:sz w:val="24"/>
          <w:szCs w:val="24"/>
        </w:rPr>
        <w:t xml:space="preserve">A fusion centre exists to answer five questions continuously: where is the threat, who is responsible, what is their capability, what are they likely to do next, and what resource can respond fastest. It maintains a living operational picture — attack locations and kidnapping incidents, suspicious movements and criminal corridors, conflict flashpoints and abandoned settlements, vulnerable highways and forests, illegal mining and arms trafficking routes, and displacement concentrations.</w:t>
      </w:r>
    </w:p>
    <w:p>
      <w:pPr>
        <w:spacing w:after="200" w:line="360"/>
        <w:jc w:val="both"/>
      </w:pPr>
      <w:r>
        <w:rPr>
          <w:sz w:val="24"/>
          <w:szCs w:val="24"/>
        </w:rPr>
        <w:t xml:space="preserve">This is not a new invention. The United Kingdom's Joint Terrorism Analysis Centre and the United States' National Counterterrorism Center were both built on the same premise — that fragmented agencies, however capable individually, lose to threats that move faster than their information does. India's Multi-Agency Centre model, built after the 2008 Mumbai attacks exposed exactly this kind of fragmentation, shows what happens when a state finally decides fusion is not optional. North-Central Nigeria needs its own version, built for our terrain and our institutions, but built on the same principle.</w:t>
      </w:r>
    </w:p>
    <w:p>
      <w:pPr>
        <w:spacing w:after="100"/>
      </w:pPr>
    </w:p>
    <w:p>
      <w:pPr>
        <w:pStyle w:val="Heading1"/>
        <w:spacing w:after="150" w:before="300"/>
      </w:pPr>
      <w:r>
        <w:t xml:space="preserve">SECTION SIX: FROM INTELLIGENCE COLLECTION TO INTELLIGENCE ACTION</w:t>
      </w:r>
    </w:p>
    <w:p>
      <w:pPr>
        <w:spacing w:after="200" w:line="360"/>
        <w:jc w:val="both"/>
      </w:pPr>
      <w:r>
        <w:rPr>
          <w:sz w:val="24"/>
          <w:szCs w:val="24"/>
        </w:rPr>
        <w:t xml:space="preserve">Ask yourself honestly: how long does it currently take for a credible warning from a village to become an operational decision? The pathway must run cleanly from the community, to a local intelligence node, to the fusion centre, to threat assessment, to the security agency, to rapid response, and back again with confirmation and follow-up. That last step — the follow-up — is the one we neglect most, and it is the one that determines whether the whole system survives contact with reality. The community must receive feedback. If people repeatedly provide information and nothing happens, they stop reporting. If they see that lives are saved because of what they told us, trust grows, and the network strengthens itself.</w:t>
      </w:r>
    </w:p>
    <w:p>
      <w:pPr>
        <w:spacing w:after="100"/>
      </w:pPr>
    </w:p>
    <w:p>
      <w:pPr>
        <w:pStyle w:val="Heading1"/>
        <w:spacing w:after="150" w:before="300"/>
      </w:pPr>
      <w:r>
        <w:t xml:space="preserve">SECTION SEVEN: THE COMMUNITY MUST BECOME THE FIRST SENSOR</w:t>
      </w:r>
    </w:p>
    <w:p>
      <w:pPr>
        <w:spacing w:after="200" w:line="360"/>
        <w:jc w:val="both"/>
      </w:pPr>
      <w:r>
        <w:rPr>
          <w:sz w:val="24"/>
          <w:szCs w:val="24"/>
        </w:rPr>
        <w:t xml:space="preserve">Farmers, hunters, teachers, traditional rulers, transporters, religious leaders, health workers, and market women see things no satellite and no patrol will ever see. What we need is a structured Community Early Warning and Early Response Network. Let me be precise about what this is not: it is not a vigilante system, and it is not a parallel intelligence service. It is a disciplined, legally governed community information network, accountable to the same rules of law that govern every other part of our security architecture.</w:t>
      </w:r>
    </w:p>
    <w:p>
      <w:pPr>
        <w:spacing w:after="200" w:line="360"/>
        <w:jc w:val="both"/>
      </w:pPr>
      <w:r>
        <w:rPr>
          <w:sz w:val="24"/>
          <w:szCs w:val="24"/>
        </w:rPr>
        <w:t xml:space="preserve">Kenya's Nyumba Kumi community policing initiative and the Philippines' Barangay Peacekeeping Action Teams both demonstrate the same lesson from very different contexts: formal, well-governed community structures out-perform informal vigilantism on every measure that matters — accuracy, accountability, and sustainability.</w:t>
      </w:r>
    </w:p>
    <w:p>
      <w:pPr>
        <w:spacing w:after="100"/>
      </w:pPr>
    </w:p>
    <w:p>
      <w:pPr>
        <w:pStyle w:val="Heading1"/>
        <w:spacing w:after="150" w:before="300"/>
      </w:pPr>
      <w:r>
        <w:t xml:space="preserve">SECTION EIGHT: TRADITIONAL RULERS IN THE SECURITY ARCHITECTURE</w:t>
      </w:r>
    </w:p>
    <w:p>
      <w:pPr>
        <w:spacing w:after="200" w:line="360"/>
        <w:jc w:val="both"/>
      </w:pPr>
      <w:r>
        <w:rPr>
          <w:sz w:val="24"/>
          <w:szCs w:val="24"/>
        </w:rPr>
        <w:t xml:space="preserve">Traditional rulers know who lives in, and who enters, their domain. They are often aware of families in conflict and land or resource disputes long before those disputes turn violent. They are frequently the first to notice radicalisation among youth, and they know the criminal routes and rising tensions within their own communities better than any outsider ever will. Yet today they are consulted mostly after violence occurs, when their value would be greatest before it. The structured interface I propose links the Traditional Council directly with Police, DSS, a Military Liaison officer, Local Government, and Community Representatives — a standing table, not an emergency meeting.</w:t>
      </w:r>
    </w:p>
    <w:p>
      <w:pPr>
        <w:spacing w:after="100"/>
      </w:pPr>
    </w:p>
    <w:p>
      <w:pPr>
        <w:pStyle w:val="Heading1"/>
        <w:spacing w:after="150" w:before="300"/>
      </w:pPr>
      <w:r>
        <w:t xml:space="preserve">SECTION NINE: SECURITY CORRIDORS, NOT ADMINISTRATIVE BOUNDARIES</w:t>
      </w:r>
    </w:p>
    <w:p>
      <w:pPr>
        <w:spacing w:after="200" w:line="360"/>
        <w:jc w:val="both"/>
      </w:pPr>
      <w:r>
        <w:rPr>
          <w:sz w:val="24"/>
          <w:szCs w:val="24"/>
        </w:rPr>
        <w:t xml:space="preserve">A criminal group does not stop at a state border. Neither should our response. Kwara–Niger–Kainji, Niger–Kaduna–FCT, Benue–Nasarawa, Benue–Taraba, Plateau–Bauchi, and Kogi–Nasarawa–Benue are not abstractions on a map; they are the actual corridors along which threats move today. North-Central governors agreed in 2025 to pursue joint security operations across these very corridors. The next step is not another agreement. It is institutionalisation — giving that political agreement a permanent operational home.</w:t>
      </w:r>
    </w:p>
    <w:p>
      <w:pPr>
        <w:spacing w:after="100"/>
      </w:pPr>
    </w:p>
    <w:p>
      <w:pPr>
        <w:pStyle w:val="Heading1"/>
        <w:spacing w:after="150" w:before="300"/>
      </w:pPr>
      <w:r>
        <w:t xml:space="preserve">SECTION TEN: RAPID RESPONSE — THE THIRTY TO SIXTY MINUTE WINDOW</w:t>
      </w:r>
    </w:p>
    <w:p>
      <w:pPr>
        <w:spacing w:after="200" w:line="360"/>
        <w:jc w:val="both"/>
      </w:pPr>
      <w:r>
        <w:rPr>
          <w:sz w:val="24"/>
          <w:szCs w:val="24"/>
        </w:rPr>
        <w:t xml:space="preserve">Thirty to sixty minutes can determine whether an incident becomes a failed attack or a mass-casualty event. This window demands police rapid response units, military quick reaction forces, mobile security teams, medical evacuation capability, aviation support where appropriate, communications support, and community liaison officers — all pre-positioned, not reactive. Israel's civil defence response architecture, built around exactly this kind of pre-positioning rather than after-the-fact mobilisation, has shown for decades how much a well-rehearsed short window can achieve when the alternative is a slow, sequential chain of phone calls.</w:t>
      </w:r>
    </w:p>
    <w:p>
      <w:pPr>
        <w:spacing w:after="100"/>
      </w:pPr>
    </w:p>
    <w:p>
      <w:pPr>
        <w:pStyle w:val="Heading1"/>
        <w:spacing w:after="150" w:before="300"/>
      </w:pPr>
      <w:r>
        <w:t xml:space="preserve">SECTION ELEVEN: TECHNOLOGY SHOULD MULTIPLY HUMAN CAPABILITY</w:t>
      </w:r>
    </w:p>
    <w:p>
      <w:pPr>
        <w:spacing w:after="200" w:line="360"/>
        <w:jc w:val="both"/>
      </w:pPr>
      <w:r>
        <w:rPr>
          <w:sz w:val="24"/>
          <w:szCs w:val="24"/>
        </w:rPr>
        <w:t xml:space="preserve">Unmanned aerial surveillance, satellite imagery and geospatial intelligence, secure communications, digital incident reporting, vehicle and movement analytics, lawful telecoms intelligence, biometric and identity systems, GIS crime mapping, and AI pattern analysis all have a role. But I want to leave you with one caution, drawn from hard experience: if a drone cannot transmit useful information to a commander who can act on it, it is merely an expensive flying camera. Technology procured without a doctrine for using it is money spent on appearances, not on security.</w:t>
      </w:r>
    </w:p>
    <w:p>
      <w:pPr>
        <w:spacing w:after="100"/>
      </w:pPr>
    </w:p>
    <w:p>
      <w:pPr>
        <w:pStyle w:val="Heading1"/>
        <w:spacing w:after="150" w:before="300"/>
      </w:pPr>
      <w:r>
        <w:t xml:space="preserve">SECTION TWELVE: THE FOREST PROBLEM</w:t>
      </w:r>
    </w:p>
    <w:p>
      <w:pPr>
        <w:spacing w:after="200" w:line="360"/>
        <w:jc w:val="both"/>
      </w:pPr>
      <w:r>
        <w:rPr>
          <w:sz w:val="24"/>
          <w:szCs w:val="24"/>
        </w:rPr>
        <w:t xml:space="preserve">Our forests provide concealment, mobility, and temporary camps. They provide access to water and routes between communities, and they offer sanctuary from conventional policing. No single tool defeats this terrain. It requires human intelligence, aerial surveillance, geospatial mapping, community information, controlled access, law enforcement, and sustained presence, working together continuously. Our goal must be to deny armed groups sanctuary, mobility, supplies, communications, financing, and freedom of movement — without treating every farmer or hunter who uses that same forest as a suspect.</w:t>
      </w:r>
    </w:p>
    <w:p>
      <w:pPr>
        <w:spacing w:after="100"/>
      </w:pPr>
    </w:p>
    <w:p>
      <w:pPr>
        <w:pStyle w:val="Heading1"/>
        <w:spacing w:after="150" w:before="300"/>
      </w:pPr>
      <w:r>
        <w:t xml:space="preserve">SECTION THIRTEEN: SEPARATE THE CRIMINAL FROM THE COMMUNITY</w:t>
      </w:r>
    </w:p>
    <w:p>
      <w:pPr>
        <w:spacing w:after="200" w:line="360"/>
        <w:jc w:val="both"/>
      </w:pPr>
      <w:r>
        <w:rPr>
          <w:sz w:val="24"/>
          <w:szCs w:val="24"/>
        </w:rPr>
        <w:t xml:space="preserve">A Fulani pastoralist is not a terrorist. A Tiv farmer is not a militia member. An Idoma youth is not a criminal. A Muslim is not a terrorist. A Christian is not a militia member. A traditional hunter is not automatically a vigilante. We must identify perpetrators by behaviour and evidence, never by ethnicity, religion, or community. Every security architecture that has ever collapsed into deeper conflict — and we have painful examples of this both within Nigeria and beyond our borders — collapsed at the moment it stopped distinguishing the criminal from the community that criminal hides within.</w:t>
      </w:r>
    </w:p>
    <w:p>
      <w:pPr>
        <w:spacing w:after="100"/>
      </w:pPr>
    </w:p>
    <w:p>
      <w:pPr>
        <w:pStyle w:val="Heading1"/>
        <w:spacing w:after="150" w:before="300"/>
      </w:pPr>
      <w:r>
        <w:t xml:space="preserve">SECTION FOURTEEN: FARMER-HERDER CONFLICT AS A GOVERNANCE ISSUE</w:t>
      </w:r>
    </w:p>
    <w:p>
      <w:pPr>
        <w:spacing w:after="200" w:line="360"/>
        <w:jc w:val="both"/>
      </w:pPr>
      <w:r>
        <w:rPr>
          <w:sz w:val="24"/>
          <w:szCs w:val="24"/>
        </w:rPr>
        <w:t xml:space="preserve">We cannot shoot our way out of every dispute. Some disputes are criminal, but most are about land, water, grazing routes, crop destruction, cattle rustling, migration, boundary disputes, and climate pressure. What these disputes require is functioning livestock management systems, negotiated grazing and stock routes, conflict-resolution mechanisms, land-use planning, livestock identification, compensation mechanisms, farmer-herder dialogue, and credible enforcement when agreements are broken. Regional dialogues across the Sahel, and cross-border grazing agreements attempted between Kenya and Ethiopia, show both the promise and the fragility of this kind of governance solution: it works only when it is sustained, resourced, and enforced consistently — not announced once and abandoned. Where governance fails, criminality fills the vacuum it leaves behind.</w:t>
      </w:r>
    </w:p>
    <w:p>
      <w:pPr>
        <w:spacing w:after="100"/>
      </w:pPr>
    </w:p>
    <w:p>
      <w:pPr>
        <w:pStyle w:val="Heading1"/>
        <w:spacing w:after="150" w:before="300"/>
      </w:pPr>
      <w:r>
        <w:t xml:space="preserve">SECTION FIFTEEN: YOUNG PEOPLE — THE MOST IMPORTANT LONG-TERM INVESTMENT</w:t>
      </w:r>
    </w:p>
    <w:p>
      <w:pPr>
        <w:spacing w:after="200" w:line="360"/>
        <w:jc w:val="both"/>
      </w:pPr>
      <w:r>
        <w:rPr>
          <w:sz w:val="24"/>
          <w:szCs w:val="24"/>
        </w:rPr>
        <w:t xml:space="preserve">What does a seventeen-year-old boy in a forgotten rural community see as his future? If the honest answer is nothing, somebody else — an armed group, a criminal network, a recruiter — will offer him something. Vocational training, agriculture, technology, apprenticeships, sports, entrepreneurship, education, community service, and targeted deradicalisation programmes are not soft add-ons to a security strategy. They are the security strategy, deployed years in advance of the crisis they prevent. Colombia's youth reintegration and gang-intervention programmes, and Northern Ireland's post-Good Friday Agreement youth investment, both demonstrate the same truth from opposite ends of the world: the cheapest and most durable form of counter-recruitment is a credible alternative future, offered early.</w:t>
      </w:r>
    </w:p>
    <w:p>
      <w:pPr>
        <w:spacing w:after="100"/>
      </w:pPr>
    </w:p>
    <w:p>
      <w:pPr>
        <w:pStyle w:val="Heading1"/>
        <w:spacing w:after="150" w:before="300"/>
      </w:pPr>
      <w:r>
        <w:t xml:space="preserve">SECTIONS SIXTEEN AND SEVENTEEN: WOMEN AS SECURITY PARTNERS, AND THE ROLE OF LOCAL GOVERNMENT</w:t>
      </w:r>
    </w:p>
    <w:p>
      <w:pPr>
        <w:spacing w:after="200" w:line="360"/>
        <w:jc w:val="both"/>
      </w:pPr>
      <w:r>
        <w:rPr>
          <w:sz w:val="24"/>
          <w:szCs w:val="24"/>
        </w:rPr>
        <w:t xml:space="preserve">Women know who has disappeared. They notice changed behaviour in children. They are aware of unusual household visitors, and they track displaced-people movement more closely than any formal system does. They must be integrated operationally into this architecture, not symbolically. And security itself cannot be Abuja-centric. At the Local Government Area level, the Chairman, Police, DSS, Military Liaison, Health, Emergency Services, and Community Representatives must be linked directly, because proximity to the community means faster warning and faster response.</w:t>
      </w:r>
    </w:p>
    <w:p>
      <w:pPr>
        <w:spacing w:after="100"/>
      </w:pPr>
    </w:p>
    <w:p>
      <w:pPr>
        <w:pStyle w:val="Heading1"/>
        <w:spacing w:after="150" w:before="300"/>
      </w:pPr>
      <w:r>
        <w:t xml:space="preserve">SECTION EIGHTEEN: STATE POLICE — AN OPPORTUNITY THAT REQUIRES SAFEGUARDS</w:t>
      </w:r>
    </w:p>
    <w:p>
      <w:pPr>
        <w:spacing w:after="200" w:line="360"/>
        <w:jc w:val="both"/>
      </w:pPr>
      <w:r>
        <w:rPr>
          <w:sz w:val="24"/>
          <w:szCs w:val="24"/>
        </w:rPr>
        <w:t xml:space="preserve">The real question is not whether state policing has value. It is how we put competent officers close to the community while preventing political abuse of that proximity. Any state police structure must complement, not replace, the Nigeria Police Force, and it must be built on national minimum standards, professional recruitment, independent complaints mechanisms, clear rules of engagement, and legislative and judicial oversight. South Africa's long, difficult debate over provincial policing powers is instructive here — the opportunity is real, but so is the risk of abuse without those exact safeguards in place from day one.</w:t>
      </w:r>
    </w:p>
    <w:p>
      <w:pPr>
        <w:spacing w:after="100"/>
      </w:pPr>
    </w:p>
    <w:p>
      <w:pPr>
        <w:pStyle w:val="Heading1"/>
        <w:spacing w:after="150" w:before="300"/>
      </w:pPr>
      <w:r>
        <w:t xml:space="preserve">SECTIONS NINETEEN AND TWENTY: PREDICTABLE FUNDING AND PERSONNEL WELFARE</w:t>
      </w:r>
    </w:p>
    <w:p>
      <w:pPr>
        <w:spacing w:after="200" w:line="360"/>
        <w:jc w:val="both"/>
      </w:pPr>
      <w:r>
        <w:rPr>
          <w:sz w:val="24"/>
          <w:szCs w:val="24"/>
        </w:rPr>
        <w:t xml:space="preserve">The Northern Nigerian Security Trust Fund, inaugurated in July 2026, is a foundation, not the finish line. It must be transparent, professionally managed, audited, and measurable. Every naira spent should be able to answer one question: what security capability did this create? And funding without personnel welfare is hollow. Reliable communication and accommodation, medical care, food, transportation, equipment maintenance and rotation, and psychological support are not comforts. Morale is a combat capability, as real as any weapon in the inventory.</w:t>
      </w:r>
    </w:p>
    <w:p>
      <w:pPr>
        <w:spacing w:after="100"/>
      </w:pPr>
    </w:p>
    <w:p>
      <w:pPr>
        <w:pStyle w:val="Heading1"/>
        <w:spacing w:after="150" w:before="300"/>
      </w:pPr>
      <w:r>
        <w:t xml:space="preserve">SECTION TWENTY-ONE: THE THREE-LAYER SECURITY MODEL</w:t>
      </w:r>
    </w:p>
    <w:p>
      <w:pPr>
        <w:spacing w:after="200" w:line="360"/>
        <w:jc w:val="both"/>
      </w:pPr>
      <w:r>
        <w:rPr>
          <w:sz w:val="24"/>
          <w:szCs w:val="24"/>
        </w:rPr>
        <w:t xml:space="preserve">I propose three layers operating as one system. Layer One is the Community — traditional rulers, citizens, local government, and early warning. Layer Two is the State — police, DSS, NSCDC, analysis and coordination. Layer Three is Federal — airpower, special operations, heavy mobility, and strategic surveillance. Each layer has a distinct role, but none of them functions correctly in isolation from the others.</w:t>
      </w:r>
    </w:p>
    <w:p>
      <w:pPr>
        <w:spacing w:after="100"/>
      </w:pPr>
    </w:p>
    <w:p>
      <w:pPr>
        <w:pStyle w:val="Heading1"/>
        <w:spacing w:after="150" w:before="300"/>
      </w:pPr>
      <w:r>
        <w:t xml:space="preserve">SECTION TWENTY-TWO: A TWENTY-FOUR-HOUR SECURITY CYCLE</w:t>
      </w:r>
    </w:p>
    <w:p>
      <w:pPr>
        <w:spacing w:after="200" w:line="360"/>
        <w:jc w:val="both"/>
      </w:pPr>
      <w:r>
        <w:rPr>
          <w:sz w:val="24"/>
          <w:szCs w:val="24"/>
        </w:rPr>
        <w:t xml:space="preserve">Security never sleeps simply because government offices have closed. From midnight to six a.m., intelligence monitoring continues. From six to noon, community reporting and operational assessment take place. From noon to six p.m., patrol, surveillance, and preventive deployment operate. From six p.m. to midnight, night security posture and rapid-response readiness take over. A security architecture that only operates during business hours is not an architecture at all.</w:t>
      </w:r>
    </w:p>
    <w:p>
      <w:pPr>
        <w:spacing w:after="100"/>
      </w:pPr>
    </w:p>
    <w:p>
      <w:pPr>
        <w:pStyle w:val="Heading1"/>
        <w:spacing w:after="150" w:before="300"/>
      </w:pPr>
      <w:r>
        <w:t xml:space="preserve">SECTION TWENTY-THREE: WHAT SHOULD HAPPEN IN THE NEXT NINETY DAYS</w:t>
      </w:r>
    </w:p>
    <w:p>
      <w:pPr>
        <w:spacing w:after="200" w:line="360"/>
        <w:jc w:val="both"/>
      </w:pPr>
      <w:r>
        <w:rPr>
          <w:sz w:val="24"/>
          <w:szCs w:val="24"/>
        </w:rPr>
        <w:t xml:space="preserve">I will not leave you with abstractions. In the next ninety days, we should create a North-Central Security Coordination Secretariat; establish a regional intelligence-fusion mechanism; map all major criminal and terrorist corridors; identify the one hundred most vulnerable communities; create community early-warning networks; establish rapid-response protocols; link governors' security councils digitally; institute common training for military, police, and liaison officers; establish a transparent regional security funding mechanism; and publish measurable security indicators every quarter.</w:t>
      </w:r>
    </w:p>
    <w:p>
      <w:pPr>
        <w:spacing w:after="100"/>
      </w:pPr>
    </w:p>
    <w:p>
      <w:pPr>
        <w:pStyle w:val="Heading1"/>
        <w:spacing w:after="150" w:before="300"/>
      </w:pPr>
      <w:r>
        <w:t xml:space="preserve">SECTION TWENTY-FOUR: THE NORTH-CENTRAL SECURITY COMPACT — SEVEN COMMITMENTS</w:t>
      </w:r>
    </w:p>
    <w:p>
      <w:pPr>
        <w:spacing w:after="200" w:line="360"/>
        <w:jc w:val="both"/>
      </w:pPr>
      <w:r>
        <w:rPr>
          <w:sz w:val="24"/>
          <w:szCs w:val="24"/>
        </w:rPr>
        <w:t xml:space="preserve">I ask this summit to adopt seven commitments. One Threat Picture: we share intelligence. One Early-Warning System: we listen to communities. One Rapid-Response Philosophy: we respond before massacres, not after them. One Professional Standard: discipline, law, and dignity govern every action we take. One Regional Approach: no one exploits state boundaries for cover. One Development Agenda: we secure and rebuild together, not sequentially. And One Measure of Success: the safety and dignity of the citizen — not the volume of activity we can report.</w:t>
      </w:r>
    </w:p>
    <w:p>
      <w:pPr>
        <w:spacing w:after="100"/>
      </w:pPr>
    </w:p>
    <w:p>
      <w:pPr>
        <w:pStyle w:val="Heading1"/>
        <w:spacing w:after="150" w:before="300"/>
      </w:pPr>
      <w:r>
        <w:t xml:space="preserve">SECTION TWENTY-FIVE: WHAT SUCCESS SHOULD LOOK LIKE IN THREE YEARS</w:t>
      </w:r>
    </w:p>
    <w:p>
      <w:pPr>
        <w:spacing w:after="200" w:line="360"/>
        <w:jc w:val="both"/>
      </w:pPr>
      <w:r>
        <w:rPr>
          <w:sz w:val="24"/>
          <w:szCs w:val="24"/>
        </w:rPr>
        <w:t xml:space="preserve">In three years, kidnapping should have fallen substantially. Attacks on rural communities should be declining. Major highways should be secure. Farmers should be able to return to their farms, and displaced families should be returning home. Criminal sanctuaries should be progressively denied. Intelligence should move faster, and response times should be shorter. Communities should trust security agencies, and security personnel should be better supported. Networks should be dismantled through arrests and prosecution — not simply displaced from one state to the next.</w:t>
      </w:r>
    </w:p>
    <w:p>
      <w:pPr>
        <w:spacing w:after="100"/>
      </w:pPr>
    </w:p>
    <w:p>
      <w:pPr>
        <w:pStyle w:val="Heading1"/>
        <w:spacing w:after="150" w:before="300"/>
      </w:pPr>
      <w:r>
        <w:t xml:space="preserve">SECTION TWENTY-SIX: THE BIGGEST CHANGE WE NEED IS MENTAL</w:t>
      </w:r>
    </w:p>
    <w:p>
      <w:pPr>
        <w:spacing w:after="200" w:line="360"/>
        <w:jc w:val="both"/>
      </w:pPr>
      <w:r>
        <w:rPr>
          <w:sz w:val="24"/>
          <w:szCs w:val="24"/>
        </w:rPr>
        <w:t xml:space="preserve">Not simply more troops, but better intelligence. Not simply more weapons, but better coordination. Not simply more operations, but better prevention. Not simply more money, but better accountability. Not simply more security personnel, but more trust between forces and people. Every one of the historical parallels I have drawn today — from Colombia to Kenya, from the Philippines to India, from Israel to Northern Ireland — points to the same underlying truth: security architectures that endure are the ones that changed how they thought before they changed how much they spent.</w:t>
      </w:r>
    </w:p>
    <w:p>
      <w:pPr>
        <w:spacing w:after="100"/>
      </w:pPr>
    </w:p>
    <w:p>
      <w:pPr>
        <w:pStyle w:val="Heading1"/>
        <w:spacing w:after="150" w:before="300"/>
      </w:pPr>
      <w:r>
        <w:t xml:space="preserve">CLOSING</w:t>
      </w:r>
    </w:p>
    <w:p>
      <w:pPr>
        <w:spacing w:after="200" w:line="360"/>
        <w:jc w:val="both"/>
      </w:pPr>
      <w:r>
        <w:rPr>
          <w:sz w:val="24"/>
          <w:szCs w:val="24"/>
        </w:rPr>
        <w:t xml:space="preserve">He simply wants to arrive alive. That is the standard by which we must judge ourselves. And it is not beyond the capacity of Nigeria.</w:t>
      </w:r>
    </w:p>
    <w:p>
      <w:pPr>
        <w:spacing w:after="300" w:before="200"/>
        <w:jc w:val="center"/>
      </w:pPr>
      <w:r>
        <w:rPr>
          <w:b/>
          <w:bCs/>
          <w:sz w:val="24"/>
          <w:szCs w:val="24"/>
        </w:rPr>
        <w:t xml:space="preserve">Thank you.</w:t>
      </w:r>
    </w:p>
    <w:p>
      <w:pPr>
        <w:jc w:val="center"/>
      </w:pPr>
      <w:r>
        <w:rPr>
          <w:i/>
          <w:iCs/>
          <w:sz w:val="22"/>
          <w:szCs w:val="22"/>
        </w:rPr>
        <w:t xml:space="preserve">— Air Vice Marshal Monday Riku Morgan (Rtd)</w:t>
      </w:r>
    </w:p>
    <w:p>
      <w:pPr>
        <w:spacing w:after="200" w:line="360"/>
        <w:jc w:val="both"/>
      </w:pPr>
      <w:r>
        <w:rPr>
          <w:sz w:val="24"/>
          <w:szCs w:val="24"/>
        </w:rPr>
        <w:t xml:space="preserve">REFERENCES</w:t>
      </w:r>
    </w:p>
    <w:p>
      <w:pPr>
        <w:spacing w:after="200" w:line="360"/>
        <w:jc w:val="both"/>
      </w:pPr>
      <w:r>
        <w:rPr>
          <w:sz w:val="24"/>
          <w:szCs w:val="24"/>
        </w:rPr>
        <w:t xml:space="preserve">The historical and comparative examples cited throughout this address draw on the following sources and precedents: the Armed Conflict Location and Event Data Project (ACLED), for conflict and fatality data across Benue, Plateau, and Niger States, January 2024 to December 2025; the Northern Nigerian Security Trust Fund, inaugurated July 2026; Plan Colombia and the associated shift toward community intelligence and reintegration programmes in Colombia through the 1990s and 2000s; the Nyumba Kumi community policing initiative in Kenya; the Barangay Peacekeeping Action Teams of the Philippines; the Joint Terrorism Analysis Centre (JTAC) of the United Kingdom; the National Counterterrorism Center (NCTC) of the United States; the Multi-Agency Centre (MAC) of India, established following the 2008 Mumbai attacks; Israel's civil defence rapid-response and pre-positioning doctrine; youth reintegration programmes following the Good Friday Agreement in Northern Ireland; the ongoing provincial policing powers debate in South Africa; cross-border grazing and pastoralist dialogue initiatives across the Sahel, including the Kenya-Ethiopia grazing corridor agreements; and the North-Central Nigeria Governors' Forum joint security operations agreement of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2026-08-18T20:26:29.778Z</dcterms:created>
  <dcterms:modified xsi:type="dcterms:W3CDTF">2026-08-18T20:26:29.778Z</dcterms:modified>
</cp:coreProperties>
</file>

<file path=docProps/custom.xml><?xml version="1.0" encoding="utf-8"?>
<Properties xmlns="http://schemas.openxmlformats.org/officeDocument/2006/custom-properties" xmlns:vt="http://schemas.openxmlformats.org/officeDocument/2006/docPropsVTypes"/>
</file>