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Distinguished military and security experts, policymakers, traditional leaders, ladies and gentlemen,</w:t>
      </w:r>
    </w:p>
    <w:p>
      <w:r>
        <w:rPr>
          <w:sz w:val="32"/>
        </w:rPr>
        <w:br w:type="page"/>
      </w:r>
    </w:p>
    <w:p>
      <w:pPr>
        <w:pStyle w:val="Heading1"/>
      </w:pPr>
      <w:r>
        <w:rPr>
          <w:color w:val="FF0000"/>
        </w:rPr>
        <w:t>SECTION ONE: THE NORTH-CENTRAL PARADOX   [SLIDE 2]</w:t>
      </w:r>
    </w:p>
    <w:p>
      <w:r>
        <w:rPr>
          <w:color w:val="FF0000"/>
        </w:rPr>
        <w:t>The North-Central region occupies a unique position in the Nigerian federation. Geographically, it is the bridge between the North and the South; strategically, it is the heartland of Nigeria's territorial cohesion; economically, it contains some of the country's most important agricultural lands, forests, water resources and mineral deposits. Yet, paradoxically, this region that should be a bastion of national unity and food security has increasingly become an arena of insecurity, displacement, communal tension, kidnapping, banditry and violent competition over land and resources.</w:t>
      </w:r>
    </w:p>
    <w:p/>
    <w:p>
      <w:pPr>
        <w:pStyle w:val="Heading1"/>
      </w:pPr>
      <w:r>
        <w:rPr>
          <w:color w:val="FF0000"/>
        </w:rPr>
        <w:t>SECTION TWO: THE CRITICAL QUESTION — FRAGMENTATION, NOT ABSENCE   [SLIDE 3]</w:t>
      </w:r>
    </w:p>
    <w:p>
      <w:r>
        <w:rPr>
          <w:color w:val="FF0000"/>
        </w:rPr>
        <w:t>The critical question before us, therefore, is not simply who is responsible for the insecurity. It is more fundamental: why, despite the presence of the Armed Forces, Police, intelligence agencies, civil defence, state institutions and traditional community structures, does insecurity continue to reproduce itself? My submission is that the challenge is not principally the absence of security institutions. It is the fragmentation of the security response.</w:t>
      </w:r>
    </w:p>
    <w:p>
      <w:r>
        <w:rPr>
          <w:color w:val="FF0000"/>
        </w:rPr>
        <w:t>Today, a threat may be seen first by a farmer, a traditional ruler, a local vigilante, a forest ranger, a police officer or an intelligence operative. But if that information does not rapidly enter a common intelligence system, reach the appropriate command structure, and translate into timely action, intelligence becomes merely information — and information that does not produce action cannot protect lives.</w:t>
      </w:r>
    </w:p>
    <w:p/>
    <w:p>
      <w:pPr>
        <w:pStyle w:val="Heading1"/>
      </w:pPr>
      <w:r>
        <w:rPr>
          <w:color w:val="FF0000"/>
        </w:rPr>
        <w:t>SECTION THREE: COLLABORATION AS THE CENTREPIECE   [SLIDE 4]</w:t>
      </w:r>
    </w:p>
    <w:p>
      <w:r>
        <w:rPr>
          <w:color w:val="FF0000"/>
        </w:rPr>
        <w:t>This is why collaboration must become the centrepiece of the North-Central security architecture. By collaboration, I do not mean merely bringing security agencies together for occasional meetings. I mean creating a system in which intelligence is shared, capabilities are integrated, responsibilities are complementary, communities are engaged, technology is exploited, and every level of government understands its role in one common security framework. Nigeria has already embraced this philosophy at the national level: the National Counter Terrorism Centre operates on a Whole-of-Government and Whole-of-Society principle, recognising that terrorism and violent extremism cannot be defeated by one institution acting alone.</w:t>
      </w:r>
    </w:p>
    <w:p/>
    <w:p>
      <w:pPr>
        <w:pStyle w:val="Heading1"/>
      </w:pPr>
      <w:r>
        <w:rPr>
          <w:color w:val="FF0000"/>
        </w:rPr>
        <w:t>SECTION FOUR: FOUR SHIFTS THE NORTH-CENTRAL MUST MAKE   [SLIDE 5]</w:t>
      </w:r>
    </w:p>
    <w:p>
      <w:r>
        <w:rPr>
          <w:color w:val="FF0000"/>
        </w:rPr>
        <w:t>The North-Central requires us to take this principle further. We must move from agency-centric security to system-centric security; from reaction to prevention; from isolated intelligence to intelligence fusion; and from government-only security to government-community partnership.</w:t>
      </w:r>
    </w:p>
    <w:p/>
    <w:p>
      <w:pPr>
        <w:pStyle w:val="Heading1"/>
      </w:pPr>
      <w:r>
        <w:rPr>
          <w:color w:val="FF0000"/>
        </w:rPr>
        <w:t>SECTION FIVE: LESSONS FROM ISRAEL AND BRITAIN — TOWARD A NIGERIAN MODEL   [SLIDE 6]</w:t>
      </w:r>
    </w:p>
    <w:p>
      <w:r>
        <w:rPr>
          <w:color w:val="FF0000"/>
        </w:rPr>
        <w:t>There are useful lessons before us. Israel demonstrates the power of integrating intelligence, military capabilities, emergency structures and communities into a resilient security system. Britain demonstrates how different institutions can retain their distinct responsibilities while operating within a coordinated national framework. But Nigeria cannot simply copy either model. We must develop a Nigerian model — one that combines intelligence fusion, inter-agency coordination, state and local government participation, traditional institutions, community early-warning systems, modern technology and the enormous reservoir of experience resident in our retired military, intelligence, police and security professionals.</w:t>
      </w:r>
    </w:p>
    <w:p/>
    <w:p>
      <w:pPr>
        <w:pStyle w:val="Heading1"/>
      </w:pPr>
      <w:r>
        <w:rPr>
          <w:color w:val="FF0000"/>
        </w:rPr>
        <w:t>SECTION SIX: COLLABORATIVE SECURITY — THE PROPOSITION   [SLIDE 7]</w:t>
      </w:r>
    </w:p>
    <w:p>
      <w:r>
        <w:rPr>
          <w:color w:val="FF0000"/>
        </w:rPr>
        <w:t>The objective is not to militarise society. It is to make society security-conscious, security-connected and resilient, while ensuring that the professional security forces retain responsibility for lawful enforcement and kinetic operations.</w:t>
      </w:r>
    </w:p>
    <w:p>
      <w:r>
        <w:rPr>
          <w:color w:val="FF0000"/>
        </w:rPr>
        <w:t>The proposition of this paper, therefore, is simple: the security of the North-Central cannot be achieved by the military alone, the police alone, government alone, or communities alone. It can only be achieved when all these elements become parts of one coherent security ecosystem. That is the essence of collaborative security. And if properly designed and implemented, collaboration is not merely another strategy for the North-Central — it may well be the panacea, the missing architecture, for transforming the region from a theatre of recurring insecurity into a zone of enduring peace, stability, agricultural productivity and national cohesion.</w:t>
      </w:r>
    </w:p>
    <w:p/>
    <w:p>
      <w:pPr>
        <w:pStyle w:val="Heading1"/>
      </w:pPr>
      <w:r>
        <w:rPr>
          <w:color w:val="FF0000"/>
        </w:rPr>
        <w:t>SECTION SEVEN: THE ISRAELI MODEL AND THE BRITISH MODEL — TWO LESSONS IN INTEGRATION   [SLIDE 8]</w:t>
      </w:r>
    </w:p>
    <w:p>
      <w:r>
        <w:rPr>
          <w:color w:val="FF0000"/>
        </w:rPr>
        <w:t>Israel's greatest lesson is not military capability — it is integration. National security is treated as a whole-of-nation responsibility. At the strategic level, the Israeli National Security Council fuses intelligence, political, military, and governmental information into one continuous national assessment, running through a situation room that never stops. At the operational level, the IDF, intelligence organisations, police, emergency agencies, and local authorities are directly connected. Through the Home Front Command, the military maintains continuous relationships with local authorities — running exercises, building local emergency plans, and linking military capability to civilian structures long before any crisis. Israel's chain runs: intelligence, to decision, to command, to local authority, to community, to response. The citizen is not a victim waiting for government. The citizen becomes part of the security architecture.</w:t>
      </w:r>
    </w:p>
    <w:p>
      <w:r>
        <w:rPr>
          <w:color w:val="FF0000"/>
        </w:rPr>
        <w:t>From Israel, North-Central Nigeria should borrow five things: permanent intelligence fusion, strong regional operational coordination, military-police-intelligence integration, prepared local authorities, and community participation and resilience. We should not, however, copy Israel's highly militarised security environment wholesale — Nigeria is a larger, more diverse federation with different constitutional and political realities.</w:t>
      </w:r>
    </w:p>
    <w:p>
      <w:r>
        <w:rPr>
          <w:color w:val="FF0000"/>
        </w:rPr>
        <w:t>Britain offers a different, equally important lesson: coordination without unnecessarily destroying existing institutions. The UK's CONTEST strategy runs on four pillars — Prevent, Pursue, Protect, and Prepare — binding together central government, intelligence agencies, police, military, emergency services, local authorities, and communities. Rather than building one gigantic police force, Britain's forty-three police forces cooperate through a national counter-terrorism structure, allowing capability to surge to wherever the threat is greatest while local community connection is preserved. The Counter Terrorism Operations Centre exists for exactly one purpose: turning shared intelligence into action faster.</w:t>
      </w:r>
    </w:p>
    <w:p>
      <w:r>
        <w:rPr>
          <w:color w:val="FF0000"/>
        </w:rPr>
        <w:t>The UK's principle is simple and fits Nigeria well: centralise intelligence and standards; decentralise implementation and community engagement. We already have the beginnings of this — Nigeria's National Counter Terrorism Centre operates under the ONSA with a Whole-of-Government, Whole-of-Society mandate. Our problem is not absence of institutions. It is the degree of integration between them.</w:t>
      </w:r>
    </w:p>
    <w:p>
      <w:pPr>
        <w:pStyle w:val="Heading2"/>
      </w:pPr>
      <w:r>
        <w:rPr>
          <w:color w:val="FF0000"/>
        </w:rPr>
        <w:t>ISRAEL vs UK — A QUICK COMPARISON</w:t>
      </w:r>
    </w:p>
    <w:tbl>
      <w:tblPr>
        <w:tblW w:type="auto" w:w="0"/>
        <w:tblLook w:firstColumn="1" w:firstRow="1" w:lastColumn="0" w:lastRow="0" w:noHBand="0" w:noVBand="1" w:val="04A0"/>
      </w:tblPr>
      <w:tblGrid>
        <w:gridCol w:w="2340"/>
        <w:gridCol w:w="2340"/>
        <w:gridCol w:w="2340"/>
        <w:gridCol w:w="2340"/>
      </w:tblGrid>
      <w:tr>
        <w:tc>
          <w:tcPr>
            <w:tcW w:type="dxa" w:w="2340"/>
          </w:tcPr>
          <w:p>
            <w:r>
              <w:rPr>
                <w:b/>
                <w:color w:val="FF0000"/>
              </w:rPr>
              <w:t>Dimension</w:t>
            </w:r>
          </w:p>
        </w:tc>
        <w:tc>
          <w:tcPr>
            <w:tcW w:type="dxa" w:w="2340"/>
          </w:tcPr>
          <w:p>
            <w:r>
              <w:rPr>
                <w:b/>
                <w:color w:val="FF0000"/>
              </w:rPr>
              <w:t>Israeli Model</w:t>
            </w:r>
          </w:p>
        </w:tc>
        <w:tc>
          <w:tcPr>
            <w:tcW w:type="dxa" w:w="2340"/>
          </w:tcPr>
          <w:p>
            <w:r>
              <w:rPr>
                <w:b/>
                <w:color w:val="FF0000"/>
              </w:rPr>
              <w:t>UK Model</w:t>
            </w:r>
          </w:p>
        </w:tc>
        <w:tc>
          <w:tcPr>
            <w:tcW w:type="dxa" w:w="2340"/>
          </w:tcPr>
          <w:p>
            <w:r>
              <w:rPr>
                <w:b/>
                <w:color w:val="FF0000"/>
              </w:rPr>
              <w:t>Best Lesson for Nigeria</w:t>
            </w:r>
          </w:p>
        </w:tc>
      </w:tr>
      <w:tr>
        <w:tc>
          <w:tcPr>
            <w:tcW w:type="dxa" w:w="2340"/>
          </w:tcPr>
          <w:p>
            <w:r>
              <w:rPr>
                <w:color w:val="FF0000"/>
              </w:rPr>
              <w:t>Intelligence</w:t>
            </w:r>
          </w:p>
        </w:tc>
        <w:tc>
          <w:tcPr>
            <w:tcW w:type="dxa" w:w="2340"/>
          </w:tcPr>
          <w:p>
            <w:r>
              <w:rPr>
                <w:color w:val="FF0000"/>
              </w:rPr>
              <w:t>Highly integrated</w:t>
            </w:r>
          </w:p>
        </w:tc>
        <w:tc>
          <w:tcPr>
            <w:tcW w:type="dxa" w:w="2340"/>
          </w:tcPr>
          <w:p>
            <w:r>
              <w:rPr>
                <w:color w:val="FF0000"/>
              </w:rPr>
              <w:t>Highly coordinated</w:t>
            </w:r>
          </w:p>
        </w:tc>
        <w:tc>
          <w:tcPr>
            <w:tcW w:type="dxa" w:w="2340"/>
          </w:tcPr>
          <w:p>
            <w:r>
              <w:rPr>
                <w:color w:val="FF0000"/>
              </w:rPr>
              <w:t>Fuse it, then act fast</w:t>
            </w:r>
          </w:p>
        </w:tc>
      </w:tr>
      <w:tr>
        <w:tc>
          <w:tcPr>
            <w:tcW w:type="dxa" w:w="2340"/>
          </w:tcPr>
          <w:p>
            <w:r>
              <w:rPr>
                <w:color w:val="FF0000"/>
              </w:rPr>
              <w:t>Military role</w:t>
            </w:r>
          </w:p>
        </w:tc>
        <w:tc>
          <w:tcPr>
            <w:tcW w:type="dxa" w:w="2340"/>
          </w:tcPr>
          <w:p>
            <w:r>
              <w:rPr>
                <w:color w:val="FF0000"/>
              </w:rPr>
              <w:t>Very prominent</w:t>
            </w:r>
          </w:p>
        </w:tc>
        <w:tc>
          <w:tcPr>
            <w:tcW w:type="dxa" w:w="2340"/>
          </w:tcPr>
          <w:p>
            <w:r>
              <w:rPr>
                <w:color w:val="FF0000"/>
              </w:rPr>
              <w:t>More specialised</w:t>
            </w:r>
          </w:p>
        </w:tc>
        <w:tc>
          <w:tcPr>
            <w:tcW w:type="dxa" w:w="2340"/>
          </w:tcPr>
          <w:p>
            <w:r>
              <w:rPr>
                <w:color w:val="FF0000"/>
              </w:rPr>
              <w:t>Support, never replace, HUMINT</w:t>
            </w:r>
          </w:p>
        </w:tc>
      </w:tr>
      <w:tr>
        <w:tc>
          <w:tcPr>
            <w:tcW w:type="dxa" w:w="2340"/>
          </w:tcPr>
          <w:p>
            <w:r>
              <w:rPr>
                <w:color w:val="FF0000"/>
              </w:rPr>
              <w:t>Local authorities</w:t>
            </w:r>
          </w:p>
        </w:tc>
        <w:tc>
          <w:tcPr>
            <w:tcW w:type="dxa" w:w="2340"/>
          </w:tcPr>
          <w:p>
            <w:r>
              <w:rPr>
                <w:color w:val="FF0000"/>
              </w:rPr>
              <w:t>Strong emergency role</w:t>
            </w:r>
          </w:p>
        </w:tc>
        <w:tc>
          <w:tcPr>
            <w:tcW w:type="dxa" w:w="2340"/>
          </w:tcPr>
          <w:p>
            <w:r>
              <w:rPr>
                <w:color w:val="FF0000"/>
              </w:rPr>
              <w:t>Strong prevention role</w:t>
            </w:r>
          </w:p>
        </w:tc>
        <w:tc>
          <w:tcPr>
            <w:tcW w:type="dxa" w:w="2340"/>
          </w:tcPr>
          <w:p>
            <w:r>
              <w:rPr>
                <w:color w:val="FF0000"/>
              </w:rPr>
              <w:t>Both — 24/7 state centres</w:t>
            </w:r>
          </w:p>
        </w:tc>
      </w:tr>
      <w:tr>
        <w:tc>
          <w:tcPr>
            <w:tcW w:type="dxa" w:w="2340"/>
          </w:tcPr>
          <w:p>
            <w:r>
              <w:rPr>
                <w:color w:val="FF0000"/>
              </w:rPr>
              <w:t>Community</w:t>
            </w:r>
          </w:p>
        </w:tc>
        <w:tc>
          <w:tcPr>
            <w:tcW w:type="dxa" w:w="2340"/>
          </w:tcPr>
          <w:p>
            <w:r>
              <w:rPr>
                <w:color w:val="FF0000"/>
              </w:rPr>
              <w:t>Active security participant</w:t>
            </w:r>
          </w:p>
        </w:tc>
        <w:tc>
          <w:tcPr>
            <w:tcW w:type="dxa" w:w="2340"/>
          </w:tcPr>
          <w:p>
            <w:r>
              <w:rPr>
                <w:color w:val="FF0000"/>
              </w:rPr>
              <w:t>Prevention &amp; resilience partner</w:t>
            </w:r>
          </w:p>
        </w:tc>
        <w:tc>
          <w:tcPr>
            <w:tcW w:type="dxa" w:w="2340"/>
          </w:tcPr>
          <w:p>
            <w:r>
              <w:rPr>
                <w:color w:val="FF0000"/>
              </w:rPr>
              <w:t>Citizen as sensor, not victim</w:t>
            </w:r>
          </w:p>
        </w:tc>
      </w:tr>
      <w:tr>
        <w:tc>
          <w:tcPr>
            <w:tcW w:type="dxa" w:w="2340"/>
          </w:tcPr>
          <w:p>
            <w:r>
              <w:rPr>
                <w:color w:val="FF0000"/>
              </w:rPr>
              <w:t>Command</w:t>
            </w:r>
          </w:p>
        </w:tc>
        <w:tc>
          <w:tcPr>
            <w:tcW w:type="dxa" w:w="2340"/>
          </w:tcPr>
          <w:p>
            <w:r>
              <w:rPr>
                <w:color w:val="FF0000"/>
              </w:rPr>
              <w:t>Strong operational integration</w:t>
            </w:r>
          </w:p>
        </w:tc>
        <w:tc>
          <w:tcPr>
            <w:tcW w:type="dxa" w:w="2340"/>
          </w:tcPr>
          <w:p>
            <w:r>
              <w:rPr>
                <w:color w:val="FF0000"/>
              </w:rPr>
              <w:t>Networked coordination</w:t>
            </w:r>
          </w:p>
        </w:tc>
        <w:tc>
          <w:tcPr>
            <w:tcW w:type="dxa" w:w="2340"/>
          </w:tcPr>
          <w:p>
            <w:r>
              <w:rPr>
                <w:color w:val="FF0000"/>
              </w:rPr>
              <w:t>One threat picture, one assessment</w:t>
            </w:r>
          </w:p>
        </w:tc>
      </w:tr>
      <w:tr>
        <w:tc>
          <w:tcPr>
            <w:tcW w:type="dxa" w:w="2340"/>
          </w:tcPr>
          <w:p>
            <w:r>
              <w:rPr>
                <w:color w:val="FF0000"/>
              </w:rPr>
              <w:t>National strategy</w:t>
            </w:r>
          </w:p>
        </w:tc>
        <w:tc>
          <w:tcPr>
            <w:tcW w:type="dxa" w:w="2340"/>
          </w:tcPr>
          <w:p>
            <w:r>
              <w:rPr>
                <w:color w:val="FF0000"/>
              </w:rPr>
              <w:t>Strong central direction</w:t>
            </w:r>
          </w:p>
        </w:tc>
        <w:tc>
          <w:tcPr>
            <w:tcW w:type="dxa" w:w="2340"/>
          </w:tcPr>
          <w:p>
            <w:r>
              <w:rPr>
                <w:color w:val="FF0000"/>
              </w:rPr>
              <w:t>Strong central framework</w:t>
            </w:r>
          </w:p>
        </w:tc>
        <w:tc>
          <w:tcPr>
            <w:tcW w:type="dxa" w:w="2340"/>
          </w:tcPr>
          <w:p>
            <w:r>
              <w:rPr>
                <w:color w:val="FF0000"/>
              </w:rPr>
              <w:t>Centralise intel; decentralise action</w:t>
            </w:r>
          </w:p>
        </w:tc>
      </w:tr>
    </w:tbl>
    <w:p>
      <w:r>
        <w:rPr>
          <w:color w:val="FF0000"/>
        </w:rPr>
        <w:t>Neither model alone is right for us. The right answer is a hybrid: Israeli intelligence integration, Israeli local resilience, British institutional coordination, and Nigerian community intelligence. I call it the North-Central Integrated Security and Resilience Model — NCISRM. It does not require new bureaucracy. It requires connecting what already exists: the NCTC's all-source intelligence function, our security agencies, our traditional institutions, and our communities, into one coherent architecture.</w:t>
      </w:r>
    </w:p>
    <w:p/>
    <w:p>
      <w:pPr>
        <w:pStyle w:val="Heading1"/>
      </w:pPr>
      <w:r>
        <w:rPr>
          <w:color w:val="FF0000"/>
        </w:rPr>
        <w:t>SECTION EIGHT: THE NCISRM — FIVE LEVELS, ONE SYSTEM   [SLIDE 9]</w:t>
      </w:r>
    </w:p>
    <w:p>
      <w:r>
        <w:rPr>
          <w:color w:val="FF0000"/>
        </w:rPr>
        <w:t>I propose five levels. Level One: a Regional Security Fusion Centre, linked to ONSA and the NCTC, fusing DSS, defence, NAF and Army intelligence, Police intelligence, NSCDC, Immigration, Customs, state security information, forest-ranger reporting, local government information, community intelligence, and technological surveillance — into one threat picture, one regional assessment.</w:t>
      </w:r>
    </w:p>
    <w:p>
      <w:r>
        <w:rPr>
          <w:color w:val="FF0000"/>
        </w:rPr>
        <w:t>Level Two: State Security Coordination Centres in every state, providing twenty-four-hour situational awareness, not just meeting after an attack. The Governor remains constitutionally responsible for state-level coordination; federal agencies retain their statutory roles.</w:t>
      </w:r>
    </w:p>
    <w:p>
      <w:r>
        <w:rPr>
          <w:color w:val="FF0000"/>
        </w:rPr>
        <w:t>Level Three: a Local Security Network in every high-risk local government, connecting security agencies, traditional institutions, local government, community leaders, farmers, pastoralists, credible civil society, and trained community observers. This is not vigilante justice — it is structured early warning and lawful information sharing.</w:t>
      </w:r>
    </w:p>
    <w:p>
      <w:r>
        <w:rPr>
          <w:color w:val="FF0000"/>
        </w:rPr>
        <w:t>Level Four: the forest and rural security layer. Our forests cannot remain intelligence black holes. Nigeria's emerging forest-security initiative should connect directly into this regional architecture, with personnel serving as the eyes and ears of the state in difficult terrain, while specialised military and police units handle high-risk operations.</w:t>
      </w:r>
    </w:p>
    <w:p>
      <w:r>
        <w:rPr>
          <w:color w:val="FF0000"/>
        </w:rPr>
        <w:t>Level Five: the citizen. Every community should know who to call, what to report, how to report it, and what happens after they report it. The citizen must become a sensor in the security network — not simply a casualty statistic.</w:t>
      </w:r>
    </w:p>
    <w:p/>
    <w:p>
      <w:pPr>
        <w:pStyle w:val="Heading1"/>
      </w:pPr>
      <w:r>
        <w:rPr>
          <w:color w:val="FF0000"/>
        </w:rPr>
        <w:t>SECTION NINE: THE ROLE OF VETERANS — THE NORTH-CENTRAL ADVANTAGE   [SLIDE 10]</w:t>
      </w:r>
    </w:p>
    <w:p>
      <w:r>
        <w:rPr>
          <w:color w:val="FF0000"/>
        </w:rPr>
        <w:t>Nigeria holds an advantage Israel and Britain do not have in quite the same form: a large pool of experienced retired military, intelligence, police, and security professionals. This resource should be deliberately built into the architecture — contributing intelligence analysis, strategic planning, training and mentoring, emergency preparedness, community-security programmes, simulation exercises, early-warning systems, leadership development, and evaluation of lessons learned. They should not replace serving personnel. They should constitute a Regional Security Advisory and Training Reserve — a reservoir of experience strengthening the system without creating a parallel armed force.</w:t>
      </w:r>
    </w:p>
    <w:p/>
    <w:p>
      <w:pPr>
        <w:pStyle w:val="Heading1"/>
      </w:pPr>
      <w:r>
        <w:rPr>
          <w:color w:val="FF0000"/>
        </w:rPr>
        <w:t>SECTION TEN: FROM REACTION TO PREVENTION — THE FIFTH P   [SLIDE 11]</w:t>
      </w:r>
    </w:p>
    <w:p>
      <w:r>
        <w:rPr>
          <w:color w:val="FF0000"/>
        </w:rPr>
        <w:t>The habit we must break is: attack, deploy troops, fight, withdraw, wait for the next attack. That is reactive security. Israel and Britain teach us to move toward: information, analysis, early warning, prevention, disruption, response, recovery, learning. That is collaborative security. Britain calls this Prevent, Pursue, Protect, and Prepare. For North-Central Nigeria, I add a fifth: Partner. Prevent. Pursue. Protect. Prepare. Partner.</w:t>
      </w:r>
    </w:p>
    <w:p>
      <w:r>
        <w:rPr>
          <w:color w:val="FF0000"/>
        </w:rPr>
        <w:t>The fundamental lesson from Israel is that no intelligence should remain isolated, and no community should remain disconnected from the security system. The fundamental lesson from Britain is that different agencies can retain their identities while operating toward one national objective. The Nigerian lesson is that our solution must be built around our own geography, our communities, our constitutional structure, and our own realities. I recommend that the North-Central region adopt this hybrid Israeli-British collaborative security architecture, but make it unmistakably Nigerian.</w:t>
      </w:r>
    </w:p>
    <w:p/>
    <w:p>
      <w:pPr>
        <w:pStyle w:val="Heading1"/>
        <w:spacing w:after="150" w:before="300"/>
      </w:pPr>
      <w:r>
        <w:rPr>
          <w:sz w:val="32"/>
        </w:rPr>
        <w:t>SECTION ELEVEN: RAPID RESPONSE — THE THIRTY TO SIXTY MINUTE WINDOW</w:t>
      </w:r>
      <w:r>
        <w:rPr>
          <w:b/>
          <w:color w:val="1F4E9C"/>
          <w:sz w:val="32"/>
        </w:rPr>
        <w:t xml:space="preserve">   [SLIDE 12]</w:t>
      </w:r>
    </w:p>
    <w:p>
      <w:pPr>
        <w:spacing w:after="200" w:line="360"/>
        <w:jc w:val="both"/>
      </w:pPr>
      <w:r>
        <w:rPr>
          <w:sz w:val="32"/>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rPr>
          <w:sz w:val="32"/>
        </w:rPr>
        <w:t>SECTION TWELVE: TECHNOLOGY SHOULD MULTIPLY HUMAN CAPABILITY</w:t>
      </w:r>
      <w:r>
        <w:rPr>
          <w:b/>
          <w:color w:val="1F4E9C"/>
          <w:sz w:val="32"/>
        </w:rPr>
        <w:t xml:space="preserve">   [SLIDE 13]</w:t>
      </w:r>
    </w:p>
    <w:p>
      <w:pPr>
        <w:spacing w:after="200" w:line="360"/>
        <w:jc w:val="both"/>
      </w:pPr>
      <w:r>
        <w:rPr>
          <w:sz w:val="32"/>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rPr>
          <w:sz w:val="32"/>
        </w:rPr>
        <w:t>SECTION THIRTEEN: THE FOREST PROBLEM</w:t>
      </w:r>
      <w:r>
        <w:rPr>
          <w:b/>
          <w:color w:val="1F4E9C"/>
          <w:sz w:val="32"/>
        </w:rPr>
        <w:t xml:space="preserve">   [SLIDE 14]</w:t>
      </w:r>
    </w:p>
    <w:p>
      <w:pPr>
        <w:spacing w:after="200" w:line="360"/>
        <w:jc w:val="both"/>
      </w:pPr>
      <w:r>
        <w:rPr>
          <w:sz w:val="32"/>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rPr>
          <w:sz w:val="32"/>
        </w:rPr>
        <w:t>SECTION FOURTEEN: SEPARATE THE CRIMINAL FROM THE COMMUNITY</w:t>
      </w:r>
      <w:r>
        <w:rPr>
          <w:b/>
          <w:color w:val="1F4E9C"/>
          <w:sz w:val="32"/>
        </w:rPr>
        <w:t xml:space="preserve">   [SLIDE 15]</w:t>
      </w:r>
    </w:p>
    <w:p>
      <w:pPr>
        <w:spacing w:after="200" w:line="360"/>
        <w:jc w:val="both"/>
      </w:pPr>
      <w:r>
        <w:rPr>
          <w:sz w:val="32"/>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rPr>
          <w:sz w:val="32"/>
        </w:rPr>
        <w:t>SECTION FIFTEEN: FARMER-HERDER CONFLICT AS A GOVERNANCE ISSUE</w:t>
      </w:r>
      <w:r>
        <w:rPr>
          <w:b/>
          <w:color w:val="1F4E9C"/>
          <w:sz w:val="32"/>
        </w:rPr>
        <w:t xml:space="preserve">   [SLIDE 16]</w:t>
      </w:r>
    </w:p>
    <w:p>
      <w:pPr>
        <w:spacing w:after="200" w:line="360"/>
        <w:jc w:val="both"/>
      </w:pPr>
      <w:r>
        <w:rPr>
          <w:sz w:val="32"/>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rPr>
          <w:sz w:val="32"/>
        </w:rPr>
        <w:t>SECTION SIXTEEN: YOUNG PEOPLE — THE MOST IMPORTANT LONG-TERM INVESTMENT</w:t>
      </w:r>
      <w:r>
        <w:rPr>
          <w:b/>
          <w:color w:val="1F4E9C"/>
          <w:sz w:val="32"/>
        </w:rPr>
        <w:t xml:space="preserve">   [SLIDE 17]</w:t>
      </w:r>
    </w:p>
    <w:p>
      <w:pPr>
        <w:spacing w:after="200" w:line="360"/>
        <w:jc w:val="both"/>
      </w:pPr>
      <w:r>
        <w:rPr>
          <w:sz w:val="32"/>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rPr>
          <w:sz w:val="32"/>
        </w:rPr>
        <w:t>SECTIONS SEVENTEEN AND EIGHTEEN: WOMEN AS SECURITY PARTNERS, AND THE ROLE OF LOCAL GOVERNMENT</w:t>
      </w:r>
      <w:r>
        <w:rPr>
          <w:b/>
          <w:color w:val="1F4E9C"/>
          <w:sz w:val="32"/>
        </w:rPr>
        <w:t xml:space="preserve">   [SLIDE 18]</w:t>
      </w:r>
    </w:p>
    <w:p>
      <w:pPr>
        <w:spacing w:after="200" w:line="360"/>
        <w:jc w:val="both"/>
      </w:pPr>
      <w:r>
        <w:rPr>
          <w:sz w:val="32"/>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rPr>
          <w:sz w:val="32"/>
        </w:rPr>
        <w:t>SECTION NINETEEN: STATE POLICE — AN OPPORTUNITY THAT REQUIRES SAFEGUARDS</w:t>
      </w:r>
      <w:r>
        <w:rPr>
          <w:b/>
          <w:color w:val="1F4E9C"/>
          <w:sz w:val="32"/>
        </w:rPr>
        <w:t xml:space="preserve">   [SLIDE 19]</w:t>
      </w:r>
    </w:p>
    <w:p>
      <w:pPr>
        <w:spacing w:after="200" w:line="360"/>
        <w:jc w:val="both"/>
      </w:pPr>
      <w:r>
        <w:rPr>
          <w:sz w:val="32"/>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rPr>
          <w:sz w:val="32"/>
        </w:rPr>
        <w:t>SECTIONS TWENTY AND TWENTY-ONE: PREDICTABLE FUNDING AND PERSONNEL WELFARE</w:t>
      </w:r>
      <w:r>
        <w:rPr>
          <w:b/>
          <w:color w:val="1F4E9C"/>
          <w:sz w:val="32"/>
        </w:rPr>
        <w:t xml:space="preserve">   [SLIDE 20]</w:t>
      </w:r>
    </w:p>
    <w:p>
      <w:pPr>
        <w:spacing w:after="200" w:line="360"/>
        <w:jc w:val="both"/>
      </w:pPr>
      <w:r>
        <w:rPr>
          <w:sz w:val="32"/>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rPr>
          <w:sz w:val="32"/>
        </w:rPr>
        <w:t>SECTION TWENTY-TWO: THE THREE-LAYER SECURITY MODEL</w:t>
      </w:r>
      <w:r>
        <w:rPr>
          <w:b/>
          <w:color w:val="1F4E9C"/>
          <w:sz w:val="32"/>
        </w:rPr>
        <w:t xml:space="preserve">   [SLIDE 21]</w:t>
      </w:r>
    </w:p>
    <w:p>
      <w:pPr>
        <w:spacing w:after="200" w:line="360"/>
        <w:jc w:val="both"/>
      </w:pPr>
      <w:r>
        <w:rPr>
          <w:sz w:val="32"/>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rPr>
          <w:sz w:val="32"/>
        </w:rPr>
        <w:t>SECTION TWENTY-THREE: A TWENTY-FOUR-HOUR SECURITY CYCLE</w:t>
      </w:r>
      <w:r>
        <w:rPr>
          <w:b/>
          <w:color w:val="1F4E9C"/>
          <w:sz w:val="32"/>
        </w:rPr>
        <w:t xml:space="preserve">   [SLIDE 22]</w:t>
      </w:r>
    </w:p>
    <w:p>
      <w:pPr>
        <w:spacing w:after="200" w:line="360"/>
        <w:jc w:val="both"/>
      </w:pPr>
      <w:r>
        <w:rPr>
          <w:sz w:val="32"/>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rPr>
          <w:sz w:val="32"/>
        </w:rPr>
        <w:t>SECTION TWENTY-FOUR: WHAT SHOULD HAPPEN IN THE NEXT NINETY DAYS</w:t>
      </w:r>
      <w:r>
        <w:rPr>
          <w:b/>
          <w:color w:val="1F4E9C"/>
          <w:sz w:val="32"/>
        </w:rPr>
        <w:t xml:space="preserve">   [SLIDE 23]</w:t>
      </w:r>
    </w:p>
    <w:p>
      <w:pPr>
        <w:spacing w:after="200" w:line="360"/>
        <w:jc w:val="both"/>
      </w:pPr>
      <w:r>
        <w:rPr>
          <w:sz w:val="32"/>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rPr>
          <w:sz w:val="32"/>
        </w:rPr>
        <w:t>SECTION TWENTY-FIVE: THE NORTH-CENTRAL SECURITY COMPACT — SEVEN COMMITMENTS</w:t>
      </w:r>
      <w:r>
        <w:rPr>
          <w:b/>
          <w:color w:val="1F4E9C"/>
          <w:sz w:val="32"/>
        </w:rPr>
        <w:t xml:space="preserve">   [SLIDE 24]</w:t>
      </w:r>
    </w:p>
    <w:p>
      <w:pPr>
        <w:spacing w:after="200" w:line="360"/>
        <w:jc w:val="both"/>
      </w:pPr>
      <w:r>
        <w:rPr>
          <w:sz w:val="32"/>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rPr>
          <w:sz w:val="32"/>
        </w:rPr>
        <w:t>SECTION TWENTY-SIX: WHAT SUCCESS SHOULD LOOK LIKE IN THREE YEARS</w:t>
      </w:r>
      <w:r>
        <w:rPr>
          <w:b/>
          <w:color w:val="1F4E9C"/>
          <w:sz w:val="32"/>
        </w:rPr>
        <w:t xml:space="preserve">   [SLIDE 25]</w:t>
      </w:r>
    </w:p>
    <w:p>
      <w:pPr>
        <w:spacing w:after="200" w:line="360"/>
        <w:jc w:val="both"/>
      </w:pPr>
      <w:r>
        <w:rPr>
          <w:sz w:val="32"/>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rPr>
          <w:sz w:val="32"/>
        </w:rPr>
        <w:t>SECTION TWENTY-SEVEN: THE BIGGEST CHANGE WE NEED IS MENTAL</w:t>
      </w:r>
      <w:r>
        <w:rPr>
          <w:b/>
          <w:color w:val="1F4E9C"/>
          <w:sz w:val="32"/>
        </w:rPr>
        <w:t xml:space="preserve">   [SLIDE 26]</w:t>
      </w:r>
    </w:p>
    <w:p>
      <w:pPr>
        <w:spacing w:after="200" w:line="360"/>
        <w:jc w:val="both"/>
      </w:pPr>
      <w:r>
        <w:rPr>
          <w:sz w:val="32"/>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rPr>
          <w:sz w:val="32"/>
        </w:rPr>
        <w:t xml:space="preserve">CLOSING</w:t>
      </w:r>
      <w:r>
        <w:rPr>
          <w:b/>
          <w:color w:val="1F4E9C"/>
          <w:sz w:val="32"/>
        </w:rPr>
        <w:t xml:space="preserve">   [SLIDE 27]</w:t>
      </w:r>
    </w:p>
    <w:p>
      <w:pPr>
        <w:spacing w:after="200" w:line="360"/>
        <w:jc w:val="both"/>
      </w:pPr>
      <w:r>
        <w:rPr>
          <w:sz w:val="32"/>
          <w:szCs w:val="24"/>
        </w:rPr>
        <w:t xml:space="preserve">He simply wants to arrive alive. That is the standard by which we must judge ourselves. And it is not beyond the capacity of Nigeria.</w:t>
      </w:r>
    </w:p>
    <w:p>
      <w:pPr>
        <w:spacing w:after="300" w:before="200"/>
        <w:jc w:val="center"/>
      </w:pPr>
      <w:r>
        <w:rPr>
          <w:b/>
          <w:bCs/>
          <w:sz w:val="32"/>
          <w:szCs w:val="24"/>
        </w:rPr>
        <w:t xml:space="preserve">Thank you.</w:t>
      </w:r>
    </w:p>
    <w:p>
      <w:pPr>
        <w:jc w:val="center"/>
      </w:pPr>
      <w:r>
        <w:rPr>
          <w:i/>
          <w:iCs/>
          <w:sz w:val="32"/>
          <w:szCs w:val="22"/>
        </w:rPr>
        <w:t xml:space="preserve">— Air Vice Marshal Monday Riku Morgan (Rtd)</w:t>
      </w:r>
    </w:p>
    <w:p>
      <w:pPr>
        <w:spacing w:after="200" w:line="360"/>
        <w:jc w:val="both"/>
      </w:pPr>
      <w:r>
        <w:rPr>
          <w:sz w:val="32"/>
          <w:szCs w:val="24"/>
        </w:rPr>
        <w:t xml:space="preserve">REFERENCES</w:t>
      </w:r>
      <w:r>
        <w:rPr>
          <w:b/>
          <w:color w:val="1F4E9C"/>
          <w:sz w:val="32"/>
        </w:rPr>
        <w:t xml:space="preserve">   [SLIDE 28]</w:t>
      </w:r>
    </w:p>
    <w:p>
      <w:pPr>
        <w:spacing w:after="200" w:line="360"/>
        <w:jc w:val="both"/>
      </w:pPr>
      <w:r>
        <w:rPr>
          <w:sz w:val="32"/>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w:t>
      </w:r>
      <w:r>
        <w:rPr>
          <w:color w:val="FF0000"/>
          <w:sz w:val="32"/>
        </w:rPr>
        <w:t>the United Kingdom's CONTEST counter-terrorism strategy (Prevent, Pursue, Protect, Prepare); the Prevent Duty guidance issued by the UK Home Office;</w:t>
      </w:r>
      <w:r>
        <w:rPr>
          <w:sz w:val="32"/>
        </w:rPr>
        <w:t xml:space="preserve"> the National Counterterrorism Center (NCTC) of the United States; the Multi-Agency Centre (MAC) of India, established following the 2008 Mumbai attacks; </w:t>
      </w:r>
      <w:r>
        <w:rPr>
          <w:color w:val="FF0000"/>
          <w:sz w:val="32"/>
        </w:rPr>
        <w:t>Israel's collaborative intelligence-fusion doctrine linking military intelligence, domestic security, police, border authorities and community reporting;</w:t>
      </w:r>
      <w:r>
        <w:rPr>
          <w:sz w:val="32"/>
        </w:rPr>
        <w:t xml:space="preserve">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