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B"/>
          <w:sz w:val="40"/>
        </w:rPr>
        <w:t>NORTH-CENTRAL SECURITY — 5 HEADLINE NUMBERS</w:t>
      </w:r>
    </w:p>
    <w:p>
      <w:pPr>
        <w:jc w:val="center"/>
      </w:pPr>
      <w:r>
        <w:rPr>
          <w:i/>
          <w:sz w:val="24"/>
        </w:rPr>
        <w:t>Mar – Sep 2026, plus 12-month national ransom economy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rPr>
          <w:trHeight w:val="1440"/>
        </w:trPr>
        <w:tc>
          <w:tcPr>
            <w:tcW w:type="dxa" w:w="5400"/>
            <w:shd w:val="clear" w:color="auto" w:fill="1B3A2B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121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1B3A2B"/>
                <w:sz w:val="32"/>
              </w:rPr>
              <w:t>killed in Plateau State, May–11 Jul 2026</w:t>
            </w:r>
          </w:p>
        </w:tc>
      </w:tr>
      <w:tr>
        <w:trPr>
          <w:trHeight w:val="1440"/>
        </w:trPr>
        <w:tc>
          <w:tcPr>
            <w:tcW w:type="dxa" w:w="5400"/>
            <w:shd w:val="clear" w:color="auto" w:fill="1B3A2B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60–80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1B3A2B"/>
                <w:sz w:val="32"/>
              </w:rPr>
              <w:t>abducted, Niger State mosque raid, Aug 2026 (confirmed by police)</w:t>
            </w:r>
          </w:p>
        </w:tc>
      </w:tr>
      <w:tr>
        <w:trPr>
          <w:trHeight w:val="1440"/>
        </w:trPr>
        <w:tc>
          <w:tcPr>
            <w:tcW w:type="dxa" w:w="5400"/>
            <w:shd w:val="clear" w:color="auto" w:fill="1B3A2B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~2,000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1B3A2B"/>
                <w:sz w:val="32"/>
              </w:rPr>
              <w:t>residents displaced to Benin Republic, Niger State, Aug 2026</w:t>
            </w:r>
          </w:p>
        </w:tc>
      </w:tr>
      <w:tr>
        <w:trPr>
          <w:trHeight w:val="1440"/>
        </w:trPr>
        <w:tc>
          <w:tcPr>
            <w:tcW w:type="dxa" w:w="5400"/>
            <w:shd w:val="clear" w:color="auto" w:fill="1B3A2B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7,825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1B3A2B"/>
                <w:sz w:val="32"/>
              </w:rPr>
              <w:t>kidnapped nationwide, Jul 2025–Jun 2026 (+66% YoY)</w:t>
            </w:r>
          </w:p>
        </w:tc>
      </w:tr>
      <w:tr>
        <w:trPr>
          <w:trHeight w:val="1440"/>
        </w:trPr>
        <w:tc>
          <w:tcPr>
            <w:tcW w:type="dxa" w:w="5400"/>
            <w:shd w:val="clear" w:color="auto" w:fill="1B3A2B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₦7.78bn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center"/>
            </w:pPr>
            <w:r>
              <w:rPr>
                <w:b/>
                <w:color w:val="1B3A2B"/>
                <w:sz w:val="32"/>
              </w:rPr>
              <w:t>ransom paid nationwide in that same 12 months ($5.79M)</w:t>
            </w:r>
          </w:p>
        </w:tc>
      </w:tr>
    </w:tbl>
    <w:p/>
    <w:p>
      <w:pPr>
        <w:jc w:val="center"/>
      </w:pPr>
      <w:r>
        <w:rPr>
          <w:b/>
          <w:i/>
          <w:sz w:val="32"/>
        </w:rPr>
        <w:t>"This is a development emergency, not a law-and-order footnote."</w:t>
      </w:r>
    </w:p>
    <w:p>
      <w:pPr>
        <w:jc w:val="center"/>
      </w:pPr>
      <w:r>
        <w:rPr>
          <w:i/>
          <w:sz w:val="18"/>
        </w:rPr>
        <w:t>Full sourcing: HUMAN_COST_BANDITRY_KIDNAPPING_NORTH_CENTRAL_STATISTICS.docx / NIGERIA_KIDNAPPING_ECONOMY_12MONTH_REPORT.docx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