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14:anchorId="19FAEFF4">
                <wp:simplePos x="0" y="0"/>
                <wp:positionH relativeFrom="margin">
                  <wp:align>center</wp:align>
                </wp:positionH>
                <wp:positionV relativeFrom="paragraph">
                  <wp:posOffset>10160</wp:posOffset>
                </wp:positionV>
                <wp:extent cx="4794250" cy="1289050"/>
                <wp:effectExtent l="0" t="0" r="26670" b="26670"/>
                <wp:wrapNone/>
                <wp:docPr id="1" name="Rounded Rectangle 2"/>
                <a:graphic xmlns:a="http://schemas.openxmlformats.org/drawingml/2006/main">
                  <a:graphicData uri="http://schemas.microsoft.com/office/word/2010/wordprocessingShape">
                    <wps:wsp>
                      <wps:cNvSpPr/>
                      <wps:spPr>
                        <a:xfrm>
                          <a:off x="0" y="0"/>
                          <a:ext cx="4793760" cy="1288440"/>
                        </a:xfrm>
                        <a:prstGeom prst="roundRect">
                          <a:avLst>
                            <a:gd name="adj" fmla="val 16667"/>
                          </a:avLst>
                        </a:prstGeom>
                        <a:solidFill>
                          <a:schemeClr val="accent5">
                            <a:lumMod val="20000"/>
                            <a:lumOff val="80000"/>
                          </a:schemeClr>
                        </a:solidFill>
                        <a:ln/>
                      </wps:spPr>
                      <wps:style>
                        <a:lnRef idx="2">
                          <a:schemeClr val="dk1"/>
                        </a:lnRef>
                        <a:fillRef idx="1">
                          <a:schemeClr val="lt1"/>
                        </a:fillRef>
                        <a:effectRef idx="0">
                          <a:schemeClr val="dk1"/>
                        </a:effectRef>
                        <a:fontRef idx="minor"/>
                      </wps:style>
                      <wps:txbx>
                        <w:txbxContent>
                          <w:p>
                            <w:pPr>
                              <w:pStyle w:val="FrameContents"/>
                              <w:spacing w:beforeAutospacing="1" w:afterAutospacing="1"/>
                              <w:jc w:val="center"/>
                              <w:rPr>
                                <w:rFonts w:ascii="Calisto MT" w:hAnsi="Calisto MT" w:cs="Segoe UI"/>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r>
                              <w:rPr>
                                <w:rFonts w:cs="Segoe UI" w:ascii="Calisto MT" w:hAnsi="Calisto MT"/>
                                <w:color w:val="000000"/>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Tomofast-x</w:t>
                            </w:r>
                          </w:p>
                        </w:txbxContent>
                      </wps:txbx>
                      <wps:bodyPr tIns="0" bIns="0">
                        <a:noAutofit/>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Segoe UI" w:hAnsi="Segoe UI" w:cs="Segoe UI"/>
          <w:color w:val="24292E"/>
          <w:sz w:val="40"/>
          <w:szCs w:val="32"/>
          <w:highlight w:val="white"/>
        </w:rPr>
      </w:pPr>
      <w:r>
        <w:rPr>
          <w:rFonts w:cs="Segoe UI" w:ascii="Segoe UI" w:hAnsi="Segoe UI"/>
          <w:color w:val="24292E"/>
          <w:sz w:val="40"/>
          <w:szCs w:val="32"/>
          <w:shd w:fill="FFFFFF" w:val="clear"/>
        </w:rPr>
        <w:t>Geophysical 3D parallel potential field joint inversion package:</w:t>
      </w:r>
    </w:p>
    <w:p>
      <w:pPr>
        <w:pStyle w:val="Normal"/>
        <w:jc w:val="center"/>
        <w:rPr>
          <w:rFonts w:ascii="Segoe UI" w:hAnsi="Segoe UI" w:cs="Segoe UI"/>
          <w:b/>
          <w:b/>
          <w:bCs/>
          <w:color w:val="24292E"/>
          <w:sz w:val="40"/>
          <w:szCs w:val="32"/>
          <w:highlight w:val="white"/>
        </w:rPr>
      </w:pPr>
      <w:r>
        <w:rPr>
          <w:rFonts w:cs="Segoe UI" w:ascii="Segoe UI" w:hAnsi="Segoe UI"/>
          <w:b/>
          <w:bCs/>
          <w:color w:val="24292E"/>
          <w:sz w:val="40"/>
          <w:szCs w:val="32"/>
          <w:shd w:fill="FFFFFF" w:val="clear"/>
        </w:rPr>
        <w:t>User Manual</w:t>
      </w:r>
    </w:p>
    <w:p>
      <w:pPr>
        <w:pStyle w:val="Normal"/>
        <w:jc w:val="center"/>
        <w:rPr>
          <w:rFonts w:ascii="Segoe UI" w:hAnsi="Segoe UI" w:cs="Segoe UI"/>
          <w:color w:val="24292E"/>
          <w:sz w:val="28"/>
          <w:szCs w:val="28"/>
          <w:highlight w:val="white"/>
        </w:rPr>
      </w:pPr>
      <w:r>
        <w:rPr>
          <w:rFonts w:cs="Segoe UI" w:ascii="Segoe UI" w:hAnsi="Segoe UI"/>
          <w:color w:val="24292E"/>
          <w:sz w:val="28"/>
          <w:szCs w:val="28"/>
          <w:shd w:fill="FFFFFF" w:val="clear"/>
        </w:rPr>
        <w:t>(code version v.2.0.5)</w:t>
      </w:r>
    </w:p>
    <w:p>
      <w:pPr>
        <w:pStyle w:val="Normal"/>
        <w:jc w:val="center"/>
        <w:rPr>
          <w:rFonts w:ascii="Segoe UI" w:hAnsi="Segoe UI" w:cs="Segoe UI"/>
          <w:color w:val="24292E"/>
          <w:sz w:val="36"/>
          <w:szCs w:val="32"/>
          <w:highlight w:val="white"/>
        </w:rPr>
      </w:pPr>
      <w:r>
        <w:rPr>
          <w:rFonts w:cs="Segoe UI" w:ascii="Segoe UI" w:hAnsi="Segoe UI"/>
          <w:color w:val="24292E"/>
          <w:sz w:val="36"/>
          <w:szCs w:val="32"/>
          <w:highlight w:val="white"/>
        </w:rPr>
      </w:r>
    </w:p>
    <w:p>
      <w:pPr>
        <w:pStyle w:val="Normal"/>
        <w:jc w:val="center"/>
        <w:rPr>
          <w:rFonts w:ascii="Segoe UI" w:hAnsi="Segoe UI" w:cs="Segoe UI"/>
          <w:color w:val="24292E"/>
          <w:sz w:val="36"/>
          <w:szCs w:val="32"/>
          <w:highlight w:val="white"/>
        </w:rPr>
      </w:pPr>
      <w:r>
        <w:rPr>
          <w:rFonts w:cs="Segoe UI" w:ascii="Segoe UI" w:hAnsi="Segoe UI"/>
          <w:color w:val="24292E"/>
          <w:sz w:val="36"/>
          <w:szCs w:val="32"/>
          <w:highlight w:val="white"/>
        </w:rPr>
      </w:r>
    </w:p>
    <w:p>
      <w:pPr>
        <w:pStyle w:val="Normal"/>
        <w:jc w:val="center"/>
        <w:rPr>
          <w:rFonts w:ascii="Segoe UI" w:hAnsi="Segoe UI" w:cs="Segoe UI"/>
          <w:color w:val="24292E"/>
          <w:sz w:val="36"/>
          <w:szCs w:val="32"/>
          <w:highlight w:val="white"/>
        </w:rPr>
      </w:pPr>
      <w:r>
        <w:rPr>
          <w:rFonts w:cs="Segoe UI" w:ascii="Segoe UI" w:hAnsi="Segoe UI"/>
          <w:color w:val="24292E"/>
          <w:sz w:val="36"/>
          <w:szCs w:val="32"/>
          <w:highlight w:val="white"/>
        </w:rPr>
      </w:r>
    </w:p>
    <w:p>
      <w:pPr>
        <w:pStyle w:val="Normal"/>
        <w:jc w:val="center"/>
        <w:rPr>
          <w:rFonts w:ascii="Segoe UI" w:hAnsi="Segoe UI" w:cs="Segoe UI"/>
          <w:color w:val="24292E"/>
          <w:sz w:val="36"/>
          <w:szCs w:val="32"/>
          <w:highlight w:val="white"/>
        </w:rPr>
      </w:pPr>
      <w:r>
        <w:rPr>
          <w:rFonts w:cs="Segoe UI" w:ascii="Segoe UI" w:hAnsi="Segoe UI"/>
          <w:color w:val="24292E"/>
          <w:sz w:val="36"/>
          <w:szCs w:val="32"/>
          <w:highlight w:val="white"/>
        </w:rPr>
      </w:r>
    </w:p>
    <w:p>
      <w:pPr>
        <w:pStyle w:val="Normal"/>
        <w:jc w:val="center"/>
        <w:rPr>
          <w:rFonts w:ascii="Segoe UI" w:hAnsi="Segoe UI" w:cs="Segoe UI"/>
          <w:color w:val="24292E"/>
          <w:sz w:val="36"/>
          <w:szCs w:val="32"/>
          <w:highlight w:val="white"/>
        </w:rPr>
      </w:pPr>
      <w:r>
        <w:rPr>
          <w:rFonts w:cs="Segoe UI" w:ascii="Segoe UI" w:hAnsi="Segoe UI"/>
          <w:color w:val="24292E"/>
          <w:sz w:val="36"/>
          <w:szCs w:val="32"/>
          <w:highlight w:val="white"/>
        </w:rPr>
      </w:r>
    </w:p>
    <w:p>
      <w:pPr>
        <w:pStyle w:val="Normal"/>
        <w:jc w:val="center"/>
        <w:rPr>
          <w:rFonts w:ascii="Segoe UI" w:hAnsi="Segoe UI" w:cs="Segoe UI"/>
          <w:color w:val="24292E"/>
          <w:sz w:val="36"/>
          <w:szCs w:val="32"/>
          <w:highlight w:val="white"/>
        </w:rPr>
      </w:pPr>
      <w:r>
        <w:rPr>
          <w:rFonts w:cs="Segoe UI" w:ascii="Segoe UI" w:hAnsi="Segoe UI"/>
          <w:color w:val="24292E"/>
          <w:sz w:val="36"/>
          <w:szCs w:val="32"/>
          <w:highlight w:val="white"/>
        </w:rPr>
      </w:r>
    </w:p>
    <w:p>
      <w:pPr>
        <w:pStyle w:val="Normal"/>
        <w:jc w:val="center"/>
        <w:rPr>
          <w:rFonts w:ascii="Segoe UI" w:hAnsi="Segoe UI" w:cs="Segoe UI"/>
          <w:color w:val="24292E"/>
          <w:szCs w:val="32"/>
          <w:highlight w:val="white"/>
        </w:rPr>
      </w:pPr>
      <w:r>
        <w:rPr>
          <w:rFonts w:cs="Segoe UI" w:ascii="Segoe UI" w:hAnsi="Segoe UI"/>
          <w:color w:val="24292E"/>
          <w:szCs w:val="32"/>
          <w:shd w:fill="FFFFFF" w:val="clear"/>
        </w:rPr>
        <w:t>by Vitaliy Ogarko</w:t>
      </w:r>
    </w:p>
    <w:p>
      <w:pPr>
        <w:pStyle w:val="Normal"/>
        <w:jc w:val="center"/>
        <w:rPr>
          <w:rFonts w:ascii="Segoe UI" w:hAnsi="Segoe UI" w:cs="Segoe UI"/>
          <w:i/>
          <w:i/>
          <w:color w:val="24292E"/>
          <w:szCs w:val="32"/>
          <w:highlight w:val="white"/>
        </w:rPr>
      </w:pPr>
      <w:r>
        <w:rPr>
          <w:rFonts w:cs="Segoe UI" w:ascii="Segoe UI" w:hAnsi="Segoe UI"/>
          <w:i/>
          <w:color w:val="24292E"/>
          <w:szCs w:val="32"/>
          <w:shd w:fill="FFFFFF" w:val="clear"/>
        </w:rPr>
        <w:t>Centre for Exploration Targeting, The University of Western Australia, 2025.</w:t>
      </w:r>
    </w:p>
    <w:p>
      <w:pPr>
        <w:pStyle w:val="Normal"/>
        <w:jc w:val="center"/>
        <w:rPr>
          <w:rFonts w:ascii="Segoe UI" w:hAnsi="Segoe UI" w:cs="Segoe UI"/>
          <w:i/>
          <w:i/>
          <w:color w:val="24292E"/>
          <w:szCs w:val="32"/>
          <w:highlight w:val="white"/>
        </w:rPr>
      </w:pPr>
      <w:r>
        <w:rPr>
          <w:rFonts w:cs="Segoe UI" w:ascii="Segoe UI" w:hAnsi="Segoe UI"/>
          <w:i/>
          <w:color w:val="24292E"/>
          <w:szCs w:val="32"/>
          <w:highlight w:val="white"/>
        </w:rPr>
      </w:r>
    </w:p>
    <w:sdt>
      <w:sdtPr>
        <w:docPartObj>
          <w:docPartGallery w:val="Table of Contents"/>
          <w:docPartUnique w:val="true"/>
        </w:docPartObj>
      </w:sdtPr>
      <w:sdtContent>
        <w:p>
          <w:pPr>
            <w:pStyle w:val="TOCHeading"/>
            <w:numPr>
              <w:ilvl w:val="0"/>
              <w:numId w:val="6"/>
            </w:numPr>
            <w:rPr/>
          </w:pPr>
          <w:r>
            <w:rPr/>
            <w:t>Contents</w:t>
          </w:r>
        </w:p>
        <w:p>
          <w:pPr>
            <w:pStyle w:val="Normal"/>
            <w:rPr>
              <w:lang w:val="en-US"/>
            </w:rPr>
          </w:pPr>
          <w:r>
            <w:rPr>
              <w:lang w:val="en-US"/>
            </w:rPr>
          </w:r>
        </w:p>
        <w:p>
          <w:pPr>
            <w:pStyle w:val="Contents1"/>
            <w:tabs>
              <w:tab w:val="clear" w:pos="720"/>
              <w:tab w:val="left" w:pos="480" w:leader="none"/>
              <w:tab w:val="right" w:pos="9016" w:leader="dot"/>
            </w:tabs>
            <w:rPr>
              <w:rFonts w:ascii="Calibri" w:hAnsi="Calibri" w:eastAsia="" w:asciiTheme="minorHAnsi" w:eastAsiaTheme="minorEastAsia" w:hAnsiTheme="minorHAnsi"/>
              <w:sz w:val="22"/>
              <w:lang w:eastAsia="en-AU"/>
            </w:rPr>
          </w:pPr>
          <w:r>
            <w:fldChar w:fldCharType="begin"/>
          </w:r>
          <w:r>
            <w:rPr>
              <w:webHidden/>
              <w:rStyle w:val="IndexLink"/>
              <w:vanish w:val="false"/>
            </w:rPr>
            <w:instrText> TOC \z \o "1-3" \u \h</w:instrText>
          </w:r>
          <w:r>
            <w:rPr>
              <w:webHidden/>
              <w:rStyle w:val="IndexLink"/>
              <w:vanish w:val="false"/>
            </w:rPr>
            <w:fldChar w:fldCharType="separate"/>
          </w:r>
          <w:hyperlink w:anchor="_Toc112344854">
            <w:r>
              <w:rPr>
                <w:webHidden/>
                <w:rStyle w:val="IndexLink"/>
                <w:vanish w:val="false"/>
              </w:rPr>
              <w:t>2</w:t>
            </w:r>
            <w:r>
              <w:rPr>
                <w:rStyle w:val="IndexLink"/>
                <w:rFonts w:eastAsia="" w:eastAsiaTheme="minorEastAsia"/>
                <w:sz w:val="22"/>
                <w:lang w:eastAsia="en-AU"/>
              </w:rPr>
              <w:tab/>
            </w:r>
            <w:r>
              <w:rPr>
                <w:rStyle w:val="IndexLink"/>
              </w:rPr>
              <w:t>Introduction</w:t>
            </w:r>
            <w:r>
              <w:rPr>
                <w:webHidden/>
              </w:rPr>
              <w:fldChar w:fldCharType="begin"/>
            </w:r>
            <w:r>
              <w:rPr>
                <w:webHidden/>
              </w:rPr>
              <w:instrText>PAGEREF _Toc112344854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9016" w:leader="dot"/>
            </w:tabs>
            <w:rPr>
              <w:rFonts w:ascii="Calibri" w:hAnsi="Calibri" w:eastAsia="" w:asciiTheme="minorHAnsi" w:eastAsiaTheme="minorEastAsia" w:hAnsiTheme="minorHAnsi"/>
              <w:sz w:val="22"/>
              <w:lang w:eastAsia="en-AU"/>
            </w:rPr>
          </w:pPr>
          <w:hyperlink w:anchor="_Toc112344855">
            <w:r>
              <w:rPr>
                <w:webHidden/>
                <w:rStyle w:val="IndexLink"/>
                <w:vanish w:val="false"/>
              </w:rPr>
              <w:t>3</w:t>
            </w:r>
            <w:r>
              <w:rPr>
                <w:rStyle w:val="IndexLink"/>
                <w:rFonts w:eastAsia="" w:eastAsiaTheme="minorEastAsia"/>
                <w:sz w:val="22"/>
                <w:lang w:eastAsia="en-AU"/>
              </w:rPr>
              <w:tab/>
            </w:r>
            <w:r>
              <w:rPr>
                <w:rStyle w:val="IndexLink"/>
              </w:rPr>
              <w:t>Code compilation</w:t>
            </w:r>
            <w:r>
              <w:rPr>
                <w:webHidden/>
              </w:rPr>
              <w:fldChar w:fldCharType="begin"/>
            </w:r>
            <w:r>
              <w:rPr>
                <w:webHidden/>
              </w:rPr>
              <w:instrText>PAGEREF _Toc112344855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9016" w:leader="dot"/>
            </w:tabs>
            <w:rPr>
              <w:rFonts w:ascii="Calibri" w:hAnsi="Calibri" w:eastAsia="" w:asciiTheme="minorHAnsi" w:eastAsiaTheme="minorEastAsia" w:hAnsiTheme="minorHAnsi"/>
              <w:sz w:val="22"/>
              <w:lang w:eastAsia="en-AU"/>
            </w:rPr>
          </w:pPr>
          <w:hyperlink w:anchor="_Toc112344856">
            <w:r>
              <w:rPr>
                <w:webHidden/>
                <w:rStyle w:val="IndexLink"/>
                <w:vanish w:val="false"/>
              </w:rPr>
              <w:t>4</w:t>
            </w:r>
            <w:r>
              <w:rPr>
                <w:rStyle w:val="IndexLink"/>
                <w:rFonts w:eastAsia="" w:eastAsiaTheme="minorEastAsia"/>
                <w:sz w:val="22"/>
                <w:lang w:eastAsia="en-AU"/>
              </w:rPr>
              <w:tab/>
            </w:r>
            <w:r>
              <w:rPr>
                <w:rStyle w:val="IndexLink"/>
              </w:rPr>
              <w:t>Description of code parameters</w:t>
            </w:r>
            <w:r>
              <w:rPr>
                <w:webHidden/>
              </w:rPr>
              <w:fldChar w:fldCharType="begin"/>
            </w:r>
            <w:r>
              <w:rPr>
                <w:webHidden/>
              </w:rPr>
              <w:instrText>PAGEREF _Toc112344856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57">
            <w:r>
              <w:rPr>
                <w:webHidden/>
                <w:rStyle w:val="IndexLink"/>
                <w:vanish w:val="false"/>
              </w:rPr>
              <w:t>4.1</w:t>
            </w:r>
            <w:r>
              <w:rPr>
                <w:rStyle w:val="IndexLink"/>
                <w:rFonts w:eastAsia="" w:eastAsiaTheme="minorEastAsia"/>
                <w:sz w:val="22"/>
                <w:lang w:eastAsia="en-AU"/>
              </w:rPr>
              <w:tab/>
            </w:r>
            <w:r>
              <w:rPr>
                <w:rStyle w:val="IndexLink"/>
              </w:rPr>
              <w:t>Global (</w:t>
            </w:r>
            <w:r>
              <w:rPr>
                <w:rStyle w:val="IndexLink"/>
                <w:rFonts w:ascii="Consolas" w:hAnsi="Consolas"/>
              </w:rPr>
              <w:t>global</w:t>
            </w:r>
            <w:r>
              <w:rPr>
                <w:rStyle w:val="IndexLink"/>
              </w:rPr>
              <w:t>)</w:t>
            </w:r>
            <w:r>
              <w:rPr>
                <w:webHidden/>
              </w:rPr>
              <w:fldChar w:fldCharType="begin"/>
            </w:r>
            <w:r>
              <w:rPr>
                <w:webHidden/>
              </w:rPr>
              <w:instrText>PAGEREF _Toc112344857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58">
            <w:r>
              <w:rPr>
                <w:webHidden/>
                <w:rStyle w:val="IndexLink"/>
                <w:vanish w:val="false"/>
              </w:rPr>
              <w:t>4.2</w:t>
            </w:r>
            <w:r>
              <w:rPr>
                <w:rStyle w:val="IndexLink"/>
                <w:rFonts w:eastAsia="" w:eastAsiaTheme="minorEastAsia"/>
                <w:sz w:val="22"/>
                <w:lang w:eastAsia="en-AU"/>
              </w:rPr>
              <w:tab/>
            </w:r>
            <w:r>
              <w:rPr>
                <w:rStyle w:val="IndexLink"/>
                <w:shd w:fill="FFFFFF" w:val="clear"/>
              </w:rPr>
              <w:t>Model grid (</w:t>
            </w:r>
            <w:r>
              <w:rPr>
                <w:rStyle w:val="IndexLink"/>
                <w:rFonts w:ascii="Consolas" w:hAnsi="Consolas"/>
                <w:shd w:fill="FFFFFF" w:val="clear"/>
              </w:rPr>
              <w:t>modelGrid</w:t>
            </w:r>
            <w:r>
              <w:rPr>
                <w:rStyle w:val="IndexLink"/>
                <w:shd w:fill="FFFFFF" w:val="clear"/>
              </w:rPr>
              <w:t>)</w:t>
            </w:r>
            <w:r>
              <w:rPr>
                <w:webHidden/>
              </w:rPr>
              <w:fldChar w:fldCharType="begin"/>
            </w:r>
            <w:r>
              <w:rPr>
                <w:webHidden/>
              </w:rPr>
              <w:instrText>PAGEREF _Toc112344858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59">
            <w:r>
              <w:rPr>
                <w:webHidden/>
                <w:rStyle w:val="IndexLink"/>
                <w:vanish w:val="false"/>
              </w:rPr>
              <w:t>4.3</w:t>
            </w:r>
            <w:r>
              <w:rPr>
                <w:rStyle w:val="IndexLink"/>
                <w:rFonts w:eastAsia="" w:eastAsiaTheme="minorEastAsia"/>
                <w:sz w:val="22"/>
                <w:lang w:eastAsia="en-AU"/>
              </w:rPr>
              <w:tab/>
            </w:r>
            <w:r>
              <w:rPr>
                <w:rStyle w:val="IndexLink"/>
              </w:rPr>
              <w:t>Data (</w:t>
            </w:r>
            <w:r>
              <w:rPr>
                <w:rStyle w:val="IndexLink"/>
                <w:rFonts w:ascii="Consolas" w:hAnsi="Consolas"/>
                <w:shd w:fill="FFFFFF" w:val="clear"/>
              </w:rPr>
              <w:t>forward.data</w:t>
            </w:r>
            <w:r>
              <w:rPr>
                <w:rStyle w:val="IndexLink"/>
              </w:rPr>
              <w:t>)</w:t>
            </w:r>
            <w:r>
              <w:rPr>
                <w:webHidden/>
              </w:rPr>
              <w:fldChar w:fldCharType="begin"/>
            </w:r>
            <w:r>
              <w:rPr>
                <w:webHidden/>
              </w:rPr>
              <w:instrText>PAGEREF _Toc112344859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0">
            <w:r>
              <w:rPr>
                <w:webHidden/>
                <w:rStyle w:val="IndexLink"/>
                <w:vanish w:val="false"/>
              </w:rPr>
              <w:t>4.4</w:t>
            </w:r>
            <w:r>
              <w:rPr>
                <w:rStyle w:val="IndexLink"/>
                <w:rFonts w:eastAsia="" w:eastAsiaTheme="minorEastAsia"/>
                <w:sz w:val="22"/>
                <w:lang w:eastAsia="en-AU"/>
              </w:rPr>
              <w:tab/>
            </w:r>
            <w:r>
              <w:rPr>
                <w:rStyle w:val="IndexLink"/>
                <w:shd w:fill="FFFFFF" w:val="clear"/>
              </w:rPr>
              <w:t>Magnetic field (</w:t>
            </w:r>
            <w:r>
              <w:rPr>
                <w:rStyle w:val="IndexLink"/>
                <w:rFonts w:ascii="Consolas" w:hAnsi="Consolas"/>
                <w:shd w:fill="FFFFFF" w:val="clear"/>
              </w:rPr>
              <w:t>forward.magneticField</w:t>
            </w:r>
            <w:r>
              <w:rPr>
                <w:rStyle w:val="IndexLink"/>
              </w:rPr>
              <w:t>)</w:t>
            </w:r>
            <w:r>
              <w:rPr>
                <w:webHidden/>
              </w:rPr>
              <w:fldChar w:fldCharType="begin"/>
            </w:r>
            <w:r>
              <w:rPr>
                <w:webHidden/>
              </w:rPr>
              <w:instrText>PAGEREF _Toc112344860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1">
            <w:r>
              <w:rPr>
                <w:webHidden/>
                <w:rStyle w:val="IndexLink"/>
                <w:vanish w:val="false"/>
              </w:rPr>
              <w:t>4.5</w:t>
            </w:r>
            <w:r>
              <w:rPr>
                <w:rStyle w:val="IndexLink"/>
                <w:rFonts w:eastAsia="" w:eastAsiaTheme="minorEastAsia"/>
                <w:sz w:val="22"/>
                <w:lang w:eastAsia="en-AU"/>
              </w:rPr>
              <w:tab/>
            </w:r>
            <w:r>
              <w:rPr>
                <w:rStyle w:val="IndexLink"/>
              </w:rPr>
              <w:t>Depth weighting (</w:t>
            </w:r>
            <w:r>
              <w:rPr>
                <w:rStyle w:val="IndexLink"/>
                <w:rFonts w:ascii="Consolas" w:hAnsi="Consolas"/>
                <w:shd w:fill="FFFFFF" w:val="clear"/>
              </w:rPr>
              <w:t>forward.depthWeighting</w:t>
            </w:r>
            <w:r>
              <w:rPr>
                <w:rStyle w:val="IndexLink"/>
              </w:rPr>
              <w:t>)</w:t>
            </w:r>
            <w:r>
              <w:rPr>
                <w:webHidden/>
              </w:rPr>
              <w:fldChar w:fldCharType="begin"/>
            </w:r>
            <w:r>
              <w:rPr>
                <w:webHidden/>
              </w:rPr>
              <w:instrText>PAGEREF _Toc112344861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2">
            <w:r>
              <w:rPr>
                <w:webHidden/>
                <w:rStyle w:val="IndexLink"/>
                <w:vanish w:val="false"/>
              </w:rPr>
              <w:t>4.6</w:t>
            </w:r>
            <w:r>
              <w:rPr>
                <w:rStyle w:val="IndexLink"/>
                <w:rFonts w:eastAsia="" w:eastAsiaTheme="minorEastAsia"/>
                <w:sz w:val="22"/>
                <w:lang w:eastAsia="en-AU"/>
              </w:rPr>
              <w:tab/>
            </w:r>
            <w:r>
              <w:rPr>
                <w:rStyle w:val="IndexLink"/>
                <w:shd w:fill="FFFFFF" w:val="clear"/>
              </w:rPr>
              <w:t>Sensitivity kernel (</w:t>
            </w:r>
            <w:r>
              <w:rPr>
                <w:rStyle w:val="IndexLink"/>
                <w:rFonts w:ascii="Consolas" w:hAnsi="Consolas"/>
                <w:shd w:fill="FFFFFF" w:val="clear"/>
              </w:rPr>
              <w:t>sensit</w:t>
            </w:r>
            <w:r>
              <w:rPr>
                <w:rStyle w:val="IndexLink"/>
                <w:shd w:fill="FFFFFF" w:val="clear"/>
              </w:rPr>
              <w:t>)</w:t>
            </w:r>
            <w:r>
              <w:rPr>
                <w:webHidden/>
              </w:rPr>
              <w:fldChar w:fldCharType="begin"/>
            </w:r>
            <w:r>
              <w:rPr>
                <w:webHidden/>
              </w:rPr>
              <w:instrText>PAGEREF _Toc112344862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3">
            <w:r>
              <w:rPr>
                <w:webHidden/>
                <w:rStyle w:val="IndexLink"/>
                <w:vanish w:val="false"/>
              </w:rPr>
              <w:t>4.7</w:t>
            </w:r>
            <w:r>
              <w:rPr>
                <w:rStyle w:val="IndexLink"/>
                <w:rFonts w:eastAsia="" w:eastAsiaTheme="minorEastAsia"/>
                <w:sz w:val="22"/>
                <w:lang w:eastAsia="en-AU"/>
              </w:rPr>
              <w:tab/>
            </w:r>
            <w:r>
              <w:rPr>
                <w:rStyle w:val="IndexLink"/>
                <w:shd w:fill="FFFFFF" w:val="clear"/>
              </w:rPr>
              <w:t>Matrix compression (</w:t>
            </w:r>
            <w:r>
              <w:rPr>
                <w:rStyle w:val="IndexLink"/>
                <w:rFonts w:ascii="Consolas" w:hAnsi="Consolas"/>
                <w:shd w:fill="FFFFFF" w:val="clear"/>
              </w:rPr>
              <w:t>forward.matrixCompression</w:t>
            </w:r>
            <w:r>
              <w:rPr>
                <w:rStyle w:val="IndexLink"/>
                <w:shd w:fill="FFFFFF" w:val="clear"/>
              </w:rPr>
              <w:t>)</w:t>
            </w:r>
            <w:r>
              <w:rPr>
                <w:webHidden/>
              </w:rPr>
              <w:fldChar w:fldCharType="begin"/>
            </w:r>
            <w:r>
              <w:rPr>
                <w:webHidden/>
              </w:rPr>
              <w:instrText>PAGEREF _Toc112344863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4">
            <w:r>
              <w:rPr>
                <w:webHidden/>
                <w:rStyle w:val="IndexLink"/>
                <w:vanish w:val="false"/>
              </w:rPr>
              <w:t>4.8</w:t>
            </w:r>
            <w:r>
              <w:rPr>
                <w:rStyle w:val="IndexLink"/>
                <w:rFonts w:eastAsia="" w:eastAsiaTheme="minorEastAsia"/>
                <w:sz w:val="22"/>
                <w:lang w:eastAsia="en-AU"/>
              </w:rPr>
              <w:tab/>
            </w:r>
            <w:r>
              <w:rPr>
                <w:rStyle w:val="IndexLink"/>
              </w:rPr>
              <w:t>Prior model (</w:t>
            </w:r>
            <w:r>
              <w:rPr>
                <w:rStyle w:val="IndexLink"/>
                <w:rFonts w:ascii="Consolas" w:hAnsi="Consolas"/>
                <w:shd w:fill="FFFFFF" w:val="clear"/>
              </w:rPr>
              <w:t>inversion.priorModel</w:t>
            </w:r>
            <w:r>
              <w:rPr>
                <w:rStyle w:val="IndexLink"/>
              </w:rPr>
              <w:t>)</w:t>
            </w:r>
            <w:r>
              <w:rPr>
                <w:webHidden/>
              </w:rPr>
              <w:fldChar w:fldCharType="begin"/>
            </w:r>
            <w:r>
              <w:rPr>
                <w:webHidden/>
              </w:rPr>
              <w:instrText>PAGEREF _Toc112344864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5">
            <w:r>
              <w:rPr>
                <w:webHidden/>
                <w:rStyle w:val="IndexLink"/>
                <w:vanish w:val="false"/>
              </w:rPr>
              <w:t>4.9</w:t>
            </w:r>
            <w:r>
              <w:rPr>
                <w:rStyle w:val="IndexLink"/>
                <w:rFonts w:eastAsia="" w:eastAsiaTheme="minorEastAsia"/>
                <w:sz w:val="22"/>
                <w:lang w:eastAsia="en-AU"/>
              </w:rPr>
              <w:tab/>
            </w:r>
            <w:r>
              <w:rPr>
                <w:rStyle w:val="IndexLink"/>
              </w:rPr>
              <w:t>Starting model (</w:t>
            </w:r>
            <w:r>
              <w:rPr>
                <w:rStyle w:val="IndexLink"/>
                <w:rFonts w:ascii="Consolas" w:hAnsi="Consolas"/>
                <w:shd w:fill="FFFFFF" w:val="clear"/>
              </w:rPr>
              <w:t>inversion.startingModel</w:t>
            </w:r>
            <w:r>
              <w:rPr>
                <w:rStyle w:val="IndexLink"/>
              </w:rPr>
              <w:t>)</w:t>
            </w:r>
            <w:r>
              <w:rPr>
                <w:webHidden/>
              </w:rPr>
              <w:fldChar w:fldCharType="begin"/>
            </w:r>
            <w:r>
              <w:rPr>
                <w:webHidden/>
              </w:rPr>
              <w:instrText>PAGEREF _Toc112344865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6">
            <w:r>
              <w:rPr>
                <w:webHidden/>
                <w:rStyle w:val="IndexLink"/>
                <w:vanish w:val="false"/>
              </w:rPr>
              <w:t>4.10</w:t>
            </w:r>
            <w:r>
              <w:rPr>
                <w:rStyle w:val="IndexLink"/>
                <w:rFonts w:eastAsia="" w:eastAsiaTheme="minorEastAsia"/>
                <w:sz w:val="22"/>
                <w:lang w:eastAsia="en-AU"/>
              </w:rPr>
              <w:tab/>
            </w:r>
            <w:r>
              <w:rPr>
                <w:rStyle w:val="IndexLink"/>
              </w:rPr>
              <w:t>Inversion (</w:t>
            </w:r>
            <w:r>
              <w:rPr>
                <w:rStyle w:val="IndexLink"/>
                <w:rFonts w:ascii="Consolas" w:hAnsi="Consolas"/>
              </w:rPr>
              <w:t>inversion</w:t>
            </w:r>
            <w:r>
              <w:rPr>
                <w:rStyle w:val="IndexLink"/>
              </w:rPr>
              <w:t>)</w:t>
            </w:r>
            <w:r>
              <w:rPr>
                <w:webHidden/>
              </w:rPr>
              <w:fldChar w:fldCharType="begin"/>
            </w:r>
            <w:r>
              <w:rPr>
                <w:webHidden/>
              </w:rPr>
              <w:instrText>PAGEREF _Toc112344866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7">
            <w:r>
              <w:rPr>
                <w:webHidden/>
                <w:rStyle w:val="IndexLink"/>
                <w:vanish w:val="false"/>
              </w:rPr>
              <w:t>4.11</w:t>
            </w:r>
            <w:r>
              <w:rPr>
                <w:rStyle w:val="IndexLink"/>
                <w:rFonts w:eastAsia="" w:eastAsiaTheme="minorEastAsia"/>
                <w:sz w:val="22"/>
                <w:lang w:eastAsia="en-AU"/>
              </w:rPr>
              <w:tab/>
            </w:r>
            <w:r>
              <w:rPr>
                <w:rStyle w:val="IndexLink"/>
              </w:rPr>
              <w:t>Model damping (</w:t>
            </w:r>
            <w:r>
              <w:rPr>
                <w:rStyle w:val="IndexLink"/>
                <w:rFonts w:ascii="Consolas" w:hAnsi="Consolas"/>
                <w:shd w:fill="FFFFFF" w:val="clear"/>
              </w:rPr>
              <w:t>inversion.modelDamping</w:t>
            </w:r>
            <w:r>
              <w:rPr>
                <w:rStyle w:val="IndexLink"/>
              </w:rPr>
              <w:t>)</w:t>
            </w:r>
            <w:r>
              <w:rPr>
                <w:webHidden/>
              </w:rPr>
              <w:fldChar w:fldCharType="begin"/>
            </w:r>
            <w:r>
              <w:rPr>
                <w:webHidden/>
              </w:rPr>
              <w:instrText>PAGEREF _Toc112344867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8">
            <w:r>
              <w:rPr>
                <w:webHidden/>
                <w:rStyle w:val="IndexLink"/>
                <w:vanish w:val="false"/>
              </w:rPr>
              <w:t>4.12</w:t>
            </w:r>
            <w:r>
              <w:rPr>
                <w:rStyle w:val="IndexLink"/>
                <w:rFonts w:eastAsia="" w:eastAsiaTheme="minorEastAsia"/>
                <w:sz w:val="22"/>
                <w:lang w:eastAsia="en-AU"/>
              </w:rPr>
              <w:tab/>
            </w:r>
            <w:r>
              <w:rPr>
                <w:rStyle w:val="IndexLink"/>
                <w:shd w:fill="FFFFFF" w:val="clear"/>
              </w:rPr>
              <w:t>Joint inversion (</w:t>
            </w:r>
            <w:r>
              <w:rPr>
                <w:rStyle w:val="IndexLink"/>
                <w:rFonts w:ascii="Consolas" w:hAnsi="Consolas"/>
                <w:shd w:fill="FFFFFF" w:val="clear"/>
              </w:rPr>
              <w:t>inversion.joint</w:t>
            </w:r>
            <w:r>
              <w:rPr>
                <w:rStyle w:val="IndexLink"/>
                <w:shd w:fill="FFFFFF" w:val="clear"/>
              </w:rPr>
              <w:t>)</w:t>
            </w:r>
            <w:r>
              <w:rPr>
                <w:webHidden/>
              </w:rPr>
              <w:fldChar w:fldCharType="begin"/>
            </w:r>
            <w:r>
              <w:rPr>
                <w:webHidden/>
              </w:rPr>
              <w:instrText>PAGEREF _Toc112344868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69">
            <w:r>
              <w:rPr>
                <w:webHidden/>
                <w:rStyle w:val="IndexLink"/>
                <w:vanish w:val="false"/>
              </w:rPr>
              <w:t>4.13</w:t>
            </w:r>
            <w:r>
              <w:rPr>
                <w:rStyle w:val="IndexLink"/>
                <w:rFonts w:eastAsia="" w:eastAsiaTheme="minorEastAsia"/>
                <w:sz w:val="22"/>
                <w:lang w:eastAsia="en-AU"/>
              </w:rPr>
              <w:tab/>
            </w:r>
            <w:r>
              <w:rPr>
                <w:rStyle w:val="IndexLink"/>
                <w:shd w:fill="FFFFFF" w:val="clear"/>
              </w:rPr>
              <w:t>Disjoint interval bound constraints (</w:t>
            </w:r>
            <w:r>
              <w:rPr>
                <w:rStyle w:val="IndexLink"/>
                <w:rFonts w:ascii="Consolas" w:hAnsi="Consolas"/>
                <w:shd w:fill="FFFFFF" w:val="clear"/>
              </w:rPr>
              <w:t>inversion.admm</w:t>
            </w:r>
            <w:r>
              <w:rPr>
                <w:rStyle w:val="IndexLink"/>
                <w:shd w:fill="FFFFFF" w:val="clear"/>
              </w:rPr>
              <w:t>)</w:t>
            </w:r>
            <w:r>
              <w:rPr>
                <w:webHidden/>
              </w:rPr>
              <w:fldChar w:fldCharType="begin"/>
            </w:r>
            <w:r>
              <w:rPr>
                <w:webHidden/>
              </w:rPr>
              <w:instrText>PAGEREF _Toc112344869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70">
            <w:r>
              <w:rPr>
                <w:webHidden/>
                <w:rStyle w:val="IndexLink"/>
                <w:vanish w:val="false"/>
              </w:rPr>
              <w:t>4.14</w:t>
            </w:r>
            <w:r>
              <w:rPr>
                <w:rStyle w:val="IndexLink"/>
                <w:rFonts w:eastAsia="" w:eastAsiaTheme="minorEastAsia"/>
                <w:sz w:val="22"/>
                <w:lang w:eastAsia="en-AU"/>
              </w:rPr>
              <w:tab/>
            </w:r>
            <w:r>
              <w:rPr>
                <w:rStyle w:val="IndexLink"/>
                <w:shd w:fill="FFFFFF" w:val="clear"/>
              </w:rPr>
              <w:t>Damping-gradient constraints (</w:t>
            </w:r>
            <w:r>
              <w:rPr>
                <w:rStyle w:val="IndexLink"/>
                <w:rFonts w:ascii="Consolas" w:hAnsi="Consolas"/>
                <w:shd w:fill="FFFFFF" w:val="clear"/>
              </w:rPr>
              <w:t>inversion.dampingGradient</w:t>
            </w:r>
            <w:r>
              <w:rPr>
                <w:rStyle w:val="IndexLink"/>
                <w:shd w:fill="FFFFFF" w:val="clear"/>
              </w:rPr>
              <w:t>)</w:t>
            </w:r>
            <w:r>
              <w:rPr>
                <w:webHidden/>
              </w:rPr>
              <w:fldChar w:fldCharType="begin"/>
            </w:r>
            <w:r>
              <w:rPr>
                <w:webHidden/>
              </w:rPr>
              <w:instrText>PAGEREF _Toc112344870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71">
            <w:r>
              <w:rPr>
                <w:webHidden/>
                <w:rStyle w:val="IndexLink"/>
                <w:vanish w:val="false"/>
              </w:rPr>
              <w:t>4.15</w:t>
            </w:r>
            <w:r>
              <w:rPr>
                <w:rStyle w:val="IndexLink"/>
                <w:rFonts w:eastAsia="" w:eastAsiaTheme="minorEastAsia"/>
                <w:sz w:val="22"/>
                <w:lang w:eastAsia="en-AU"/>
              </w:rPr>
              <w:tab/>
            </w:r>
            <w:r>
              <w:rPr>
                <w:rStyle w:val="IndexLink"/>
                <w:shd w:fill="FFFFFF" w:val="clear"/>
              </w:rPr>
              <w:t>Cross-gradient constraints (</w:t>
            </w:r>
            <w:r>
              <w:rPr>
                <w:rStyle w:val="IndexLink"/>
                <w:rFonts w:ascii="Consolas" w:hAnsi="Consolas"/>
                <w:shd w:fill="FFFFFF" w:val="clear"/>
              </w:rPr>
              <w:t>inversion.crossGradient</w:t>
            </w:r>
            <w:r>
              <w:rPr>
                <w:rStyle w:val="IndexLink"/>
                <w:shd w:fill="FFFFFF" w:val="clear"/>
              </w:rPr>
              <w:t>)</w:t>
            </w:r>
            <w:r>
              <w:rPr>
                <w:webHidden/>
              </w:rPr>
              <w:fldChar w:fldCharType="begin"/>
            </w:r>
            <w:r>
              <w:rPr>
                <w:webHidden/>
              </w:rPr>
              <w:instrText>PAGEREF _Toc112344871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72">
            <w:r>
              <w:rPr>
                <w:webHidden/>
                <w:rStyle w:val="IndexLink"/>
                <w:vanish w:val="false"/>
              </w:rPr>
              <w:t>4.16</w:t>
            </w:r>
            <w:r>
              <w:rPr>
                <w:rStyle w:val="IndexLink"/>
                <w:rFonts w:eastAsia="" w:eastAsiaTheme="minorEastAsia"/>
                <w:sz w:val="22"/>
                <w:lang w:eastAsia="en-AU"/>
              </w:rPr>
              <w:tab/>
            </w:r>
            <w:r>
              <w:rPr>
                <w:rStyle w:val="IndexLink"/>
                <w:shd w:fill="FFFFFF" w:val="clear"/>
              </w:rPr>
              <w:t>Clustering constraints (</w:t>
            </w:r>
            <w:r>
              <w:rPr>
                <w:rStyle w:val="IndexLink"/>
                <w:rFonts w:ascii="Consolas" w:hAnsi="Consolas"/>
                <w:shd w:fill="FFFFFF" w:val="clear"/>
              </w:rPr>
              <w:t>inversion.clustering</w:t>
            </w:r>
            <w:r>
              <w:rPr>
                <w:rStyle w:val="IndexLink"/>
                <w:shd w:fill="FFFFFF" w:val="clear"/>
              </w:rPr>
              <w:t>)</w:t>
            </w:r>
            <w:r>
              <w:rPr>
                <w:webHidden/>
              </w:rPr>
              <w:fldChar w:fldCharType="begin"/>
            </w:r>
            <w:r>
              <w:rPr>
                <w:webHidden/>
              </w:rPr>
              <w:instrText>PAGEREF _Toc112344872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9016" w:leader="dot"/>
            </w:tabs>
            <w:rPr>
              <w:rFonts w:ascii="Calibri" w:hAnsi="Calibri" w:eastAsia="" w:asciiTheme="minorHAnsi" w:eastAsiaTheme="minorEastAsia" w:hAnsiTheme="minorHAnsi"/>
              <w:sz w:val="22"/>
              <w:lang w:eastAsia="en-AU"/>
            </w:rPr>
          </w:pPr>
          <w:hyperlink w:anchor="_Toc112344873">
            <w:r>
              <w:rPr>
                <w:webHidden/>
                <w:rStyle w:val="IndexLink"/>
                <w:vanish w:val="false"/>
              </w:rPr>
              <w:t>5</w:t>
            </w:r>
            <w:r>
              <w:rPr>
                <w:rStyle w:val="IndexLink"/>
                <w:rFonts w:eastAsia="" w:eastAsiaTheme="minorEastAsia"/>
                <w:sz w:val="22"/>
                <w:lang w:eastAsia="en-AU"/>
              </w:rPr>
              <w:tab/>
            </w:r>
            <w:r>
              <w:rPr>
                <w:rStyle w:val="IndexLink"/>
              </w:rPr>
              <w:t>Description of input data formats</w:t>
            </w:r>
            <w:r>
              <w:rPr>
                <w:webHidden/>
              </w:rPr>
              <w:fldChar w:fldCharType="begin"/>
            </w:r>
            <w:r>
              <w:rPr>
                <w:webHidden/>
              </w:rPr>
              <w:instrText>PAGEREF _Toc112344873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74">
            <w:r>
              <w:rPr>
                <w:webHidden/>
                <w:rStyle w:val="IndexLink"/>
                <w:vanish w:val="false"/>
              </w:rPr>
              <w:t>5.1</w:t>
            </w:r>
            <w:r>
              <w:rPr>
                <w:rStyle w:val="IndexLink"/>
                <w:rFonts w:eastAsia="" w:eastAsiaTheme="minorEastAsia"/>
                <w:sz w:val="22"/>
                <w:lang w:eastAsia="en-AU"/>
              </w:rPr>
              <w:tab/>
            </w:r>
            <w:r>
              <w:rPr>
                <w:rStyle w:val="IndexLink"/>
              </w:rPr>
              <w:t>Data file format</w:t>
            </w:r>
            <w:r>
              <w:rPr>
                <w:webHidden/>
              </w:rPr>
              <w:fldChar w:fldCharType="begin"/>
            </w:r>
            <w:r>
              <w:rPr>
                <w:webHidden/>
              </w:rPr>
              <w:instrText>PAGEREF _Toc112344874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75">
            <w:r>
              <w:rPr>
                <w:webHidden/>
                <w:rStyle w:val="IndexLink"/>
                <w:vanish w:val="false"/>
              </w:rPr>
              <w:t>5.2</w:t>
            </w:r>
            <w:r>
              <w:rPr>
                <w:rStyle w:val="IndexLink"/>
                <w:rFonts w:eastAsia="" w:eastAsiaTheme="minorEastAsia"/>
                <w:sz w:val="22"/>
                <w:lang w:eastAsia="en-AU"/>
              </w:rPr>
              <w:tab/>
            </w:r>
            <w:r>
              <w:rPr>
                <w:rStyle w:val="IndexLink"/>
              </w:rPr>
              <w:t>Model grid file format</w:t>
            </w:r>
            <w:r>
              <w:rPr>
                <w:webHidden/>
              </w:rPr>
              <w:fldChar w:fldCharType="begin"/>
            </w:r>
            <w:r>
              <w:rPr>
                <w:webHidden/>
              </w:rPr>
              <w:instrText>PAGEREF _Toc112344875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76">
            <w:r>
              <w:rPr>
                <w:webHidden/>
                <w:rStyle w:val="IndexLink"/>
                <w:vanish w:val="false"/>
              </w:rPr>
              <w:t>5.3</w:t>
            </w:r>
            <w:r>
              <w:rPr>
                <w:rStyle w:val="IndexLink"/>
                <w:rFonts w:eastAsia="" w:eastAsiaTheme="minorEastAsia"/>
                <w:sz w:val="22"/>
                <w:lang w:eastAsia="en-AU"/>
              </w:rPr>
              <w:tab/>
            </w:r>
            <w:r>
              <w:rPr>
                <w:rStyle w:val="IndexLink"/>
              </w:rPr>
              <w:t>Prior and starting models</w:t>
            </w:r>
            <w:r>
              <w:rPr>
                <w:webHidden/>
              </w:rPr>
              <w:fldChar w:fldCharType="begin"/>
            </w:r>
            <w:r>
              <w:rPr>
                <w:webHidden/>
              </w:rPr>
              <w:instrText>PAGEREF _Toc112344876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77">
            <w:r>
              <w:rPr>
                <w:webHidden/>
                <w:rStyle w:val="IndexLink"/>
                <w:vanish w:val="false"/>
              </w:rPr>
              <w:t>5.4</w:t>
            </w:r>
            <w:r>
              <w:rPr>
                <w:rStyle w:val="IndexLink"/>
                <w:rFonts w:eastAsia="" w:eastAsiaTheme="minorEastAsia"/>
                <w:sz w:val="22"/>
                <w:lang w:eastAsia="en-AU"/>
              </w:rPr>
              <w:tab/>
            </w:r>
            <w:r>
              <w:rPr>
                <w:rStyle w:val="IndexLink"/>
              </w:rPr>
              <w:t>Disjoint interval bound constraints (ADMM)</w:t>
            </w:r>
            <w:r>
              <w:rPr>
                <w:webHidden/>
              </w:rPr>
              <w:fldChar w:fldCharType="begin"/>
            </w:r>
            <w:r>
              <w:rPr>
                <w:webHidden/>
              </w:rPr>
              <w:instrText>PAGEREF _Toc112344877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78">
            <w:r>
              <w:rPr>
                <w:webHidden/>
                <w:rStyle w:val="IndexLink"/>
                <w:vanish w:val="false"/>
              </w:rPr>
              <w:t>5.5</w:t>
            </w:r>
            <w:r>
              <w:rPr>
                <w:rStyle w:val="IndexLink"/>
                <w:rFonts w:eastAsia="" w:eastAsiaTheme="minorEastAsia"/>
                <w:sz w:val="22"/>
                <w:lang w:eastAsia="en-AU"/>
              </w:rPr>
              <w:tab/>
            </w:r>
            <w:r>
              <w:rPr>
                <w:rStyle w:val="IndexLink"/>
              </w:rPr>
              <w:t>Clustering constrains</w:t>
            </w:r>
            <w:r>
              <w:rPr>
                <w:webHidden/>
              </w:rPr>
              <w:fldChar w:fldCharType="begin"/>
            </w:r>
            <w:r>
              <w:rPr>
                <w:webHidden/>
              </w:rPr>
              <w:instrText>PAGEREF _Toc112344878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80" w:leader="none"/>
              <w:tab w:val="right" w:pos="9016" w:leader="dot"/>
            </w:tabs>
            <w:rPr>
              <w:rFonts w:ascii="Calibri" w:hAnsi="Calibri" w:eastAsia="" w:asciiTheme="minorHAnsi" w:eastAsiaTheme="minorEastAsia" w:hAnsiTheme="minorHAnsi"/>
              <w:sz w:val="22"/>
              <w:lang w:eastAsia="en-AU"/>
            </w:rPr>
          </w:pPr>
          <w:hyperlink w:anchor="_Toc112344879">
            <w:r>
              <w:rPr>
                <w:webHidden/>
                <w:rStyle w:val="IndexLink"/>
                <w:vanish w:val="false"/>
              </w:rPr>
              <w:t>6</w:t>
            </w:r>
            <w:r>
              <w:rPr>
                <w:rStyle w:val="IndexLink"/>
                <w:rFonts w:eastAsia="" w:eastAsiaTheme="minorEastAsia"/>
                <w:sz w:val="22"/>
                <w:lang w:eastAsia="en-AU"/>
              </w:rPr>
              <w:tab/>
            </w:r>
            <w:r>
              <w:rPr>
                <w:rStyle w:val="IndexLink"/>
              </w:rPr>
              <w:t>Description of the code output files</w:t>
            </w:r>
            <w:r>
              <w:rPr>
                <w:webHidden/>
              </w:rPr>
              <w:fldChar w:fldCharType="begin"/>
            </w:r>
            <w:r>
              <w:rPr>
                <w:webHidden/>
              </w:rPr>
              <w:instrText>PAGEREF _Toc112344879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80">
            <w:r>
              <w:rPr>
                <w:webHidden/>
                <w:rStyle w:val="IndexLink"/>
                <w:vanish w:val="false"/>
              </w:rPr>
              <w:t>6.1</w:t>
            </w:r>
            <w:r>
              <w:rPr>
                <w:rStyle w:val="IndexLink"/>
                <w:rFonts w:eastAsia="" w:eastAsiaTheme="minorEastAsia"/>
                <w:sz w:val="22"/>
                <w:lang w:eastAsia="en-AU"/>
              </w:rPr>
              <w:tab/>
            </w:r>
            <w:r>
              <w:rPr>
                <w:rStyle w:val="IndexLink"/>
              </w:rPr>
              <w:t>Data files</w:t>
            </w:r>
            <w:r>
              <w:rPr>
                <w:webHidden/>
              </w:rPr>
              <w:fldChar w:fldCharType="begin"/>
            </w:r>
            <w:r>
              <w:rPr>
                <w:webHidden/>
              </w:rPr>
              <w:instrText>PAGEREF _Toc112344880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81">
            <w:r>
              <w:rPr>
                <w:webHidden/>
                <w:rStyle w:val="IndexLink"/>
                <w:vanish w:val="false"/>
              </w:rPr>
              <w:t>6.2</w:t>
            </w:r>
            <w:r>
              <w:rPr>
                <w:rStyle w:val="IndexLink"/>
                <w:rFonts w:eastAsia="" w:eastAsiaTheme="minorEastAsia"/>
                <w:sz w:val="22"/>
                <w:lang w:eastAsia="en-AU"/>
              </w:rPr>
              <w:tab/>
            </w:r>
            <w:r>
              <w:rPr>
                <w:rStyle w:val="IndexLink"/>
              </w:rPr>
              <w:t>Model files</w:t>
            </w:r>
            <w:r>
              <w:rPr>
                <w:webHidden/>
              </w:rPr>
              <w:fldChar w:fldCharType="begin"/>
            </w:r>
            <w:r>
              <w:rPr>
                <w:webHidden/>
              </w:rPr>
              <w:instrText>PAGEREF _Toc112344881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82">
            <w:r>
              <w:rPr>
                <w:webHidden/>
                <w:rStyle w:val="IndexLink"/>
                <w:vanish w:val="false"/>
              </w:rPr>
              <w:t>6.3</w:t>
            </w:r>
            <w:r>
              <w:rPr>
                <w:rStyle w:val="IndexLink"/>
                <w:rFonts w:eastAsia="" w:eastAsiaTheme="minorEastAsia"/>
                <w:sz w:val="22"/>
                <w:lang w:eastAsia="en-AU"/>
              </w:rPr>
              <w:tab/>
            </w:r>
            <w:r>
              <w:rPr>
                <w:rStyle w:val="IndexLink"/>
              </w:rPr>
              <w:t>Visualization files</w:t>
            </w:r>
            <w:r>
              <w:rPr>
                <w:webHidden/>
              </w:rPr>
              <w:fldChar w:fldCharType="begin"/>
            </w:r>
            <w:r>
              <w:rPr>
                <w:webHidden/>
              </w:rPr>
              <w:instrText>PAGEREF _Toc112344882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83">
            <w:r>
              <w:rPr>
                <w:webHidden/>
                <w:rStyle w:val="IndexLink"/>
                <w:vanish w:val="false"/>
              </w:rPr>
              <w:t>6.4</w:t>
            </w:r>
            <w:r>
              <w:rPr>
                <w:rStyle w:val="IndexLink"/>
                <w:rFonts w:eastAsia="" w:eastAsiaTheme="minorEastAsia"/>
                <w:sz w:val="22"/>
                <w:lang w:eastAsia="en-AU"/>
              </w:rPr>
              <w:tab/>
            </w:r>
            <w:r>
              <w:rPr>
                <w:rStyle w:val="IndexLink"/>
              </w:rPr>
              <w:t>Analysis files</w:t>
            </w:r>
            <w:r>
              <w:rPr>
                <w:webHidden/>
              </w:rPr>
              <w:fldChar w:fldCharType="begin"/>
            </w:r>
            <w:r>
              <w:rPr>
                <w:webHidden/>
              </w:rPr>
              <w:instrText>PAGEREF _Toc112344883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80" w:leader="none"/>
              <w:tab w:val="right" w:pos="9016" w:leader="dot"/>
            </w:tabs>
            <w:rPr>
              <w:rFonts w:ascii="Calibri" w:hAnsi="Calibri" w:eastAsia="" w:asciiTheme="minorHAnsi" w:eastAsiaTheme="minorEastAsia" w:hAnsiTheme="minorHAnsi"/>
              <w:sz w:val="22"/>
              <w:lang w:eastAsia="en-AU"/>
            </w:rPr>
          </w:pPr>
          <w:hyperlink w:anchor="_Toc112344884">
            <w:r>
              <w:rPr>
                <w:webHidden/>
                <w:rStyle w:val="IndexLink"/>
                <w:vanish w:val="false"/>
              </w:rPr>
              <w:t>6.5</w:t>
            </w:r>
            <w:r>
              <w:rPr>
                <w:rStyle w:val="IndexLink"/>
                <w:rFonts w:eastAsia="" w:eastAsiaTheme="minorEastAsia"/>
                <w:sz w:val="22"/>
                <w:lang w:eastAsia="en-AU"/>
              </w:rPr>
              <w:tab/>
            </w:r>
            <w:r>
              <w:rPr>
                <w:rStyle w:val="IndexLink"/>
              </w:rPr>
              <w:t>Screen log</w:t>
            </w:r>
            <w:r>
              <w:rPr>
                <w:webHidden/>
              </w:rPr>
              <w:fldChar w:fldCharType="begin"/>
            </w:r>
            <w:r>
              <w:rPr>
                <w:webHidden/>
              </w:rPr>
              <w:instrText>PAGEREF _Toc112344884 \h</w:instrText>
            </w:r>
            <w:r>
              <w:rPr>
                <w:webHidden/>
              </w:rPr>
              <w:fldChar w:fldCharType="separate"/>
            </w:r>
            <w:r>
              <w:rPr>
                <w:rStyle w:val="IndexLink"/>
                <w:vanish w:val="false"/>
              </w:rPr>
              <w:tab/>
              <w:t>16</w:t>
            </w:r>
            <w:r>
              <w:rPr>
                <w:webHidden/>
              </w:rPr>
              <w:fldChar w:fldCharType="end"/>
            </w:r>
          </w:hyperlink>
        </w:p>
        <w:p>
          <w:pPr>
            <w:pStyle w:val="Contents1"/>
            <w:tabs>
              <w:tab w:val="clear" w:pos="720"/>
              <w:tab w:val="left" w:pos="480" w:leader="none"/>
              <w:tab w:val="right" w:pos="9016" w:leader="dot"/>
            </w:tabs>
            <w:rPr>
              <w:rFonts w:ascii="Calibri" w:hAnsi="Calibri" w:eastAsia="" w:asciiTheme="minorHAnsi" w:eastAsiaTheme="minorEastAsia" w:hAnsiTheme="minorHAnsi"/>
              <w:sz w:val="22"/>
              <w:lang w:eastAsia="en-AU"/>
            </w:rPr>
          </w:pPr>
          <w:hyperlink w:anchor="_Toc112344885">
            <w:r>
              <w:rPr>
                <w:webHidden/>
                <w:rStyle w:val="IndexLink"/>
                <w:vanish w:val="false"/>
              </w:rPr>
              <w:t>7</w:t>
            </w:r>
            <w:r>
              <w:rPr>
                <w:rStyle w:val="IndexLink"/>
                <w:rFonts w:eastAsia="" w:eastAsiaTheme="minorEastAsia"/>
                <w:sz w:val="22"/>
                <w:lang w:eastAsia="en-AU"/>
              </w:rPr>
              <w:tab/>
            </w:r>
            <w:r>
              <w:rPr>
                <w:rStyle w:val="IndexLink"/>
              </w:rPr>
              <w:t>References</w:t>
            </w:r>
            <w:r>
              <w:rPr>
                <w:webHidden/>
              </w:rPr>
              <w:fldChar w:fldCharType="begin"/>
            </w:r>
            <w:r>
              <w:rPr>
                <w:webHidden/>
              </w:rPr>
              <w:instrText>PAGEREF _Toc112344885 \h</w:instrText>
            </w:r>
            <w:r>
              <w:rPr>
                <w:webHidden/>
              </w:rPr>
              <w:fldChar w:fldCharType="separate"/>
            </w:r>
            <w:r>
              <w:rPr>
                <w:rStyle w:val="IndexLink"/>
                <w:vanish w:val="false"/>
              </w:rPr>
              <w:tab/>
              <w:t>17</w:t>
            </w:r>
            <w:r>
              <w:rPr>
                <w:webHidden/>
              </w:rPr>
              <w:fldChar w:fldCharType="end"/>
            </w:r>
          </w:hyperlink>
        </w:p>
        <w:p>
          <w:pPr>
            <w:pStyle w:val="Normal"/>
            <w:rPr>
              <w:szCs w:val="24"/>
            </w:rPr>
          </w:pPr>
          <w:r>
            <w:rPr>
              <w:szCs w:val="24"/>
            </w:rPr>
          </w:r>
          <w:r>
            <w:rPr>
              <w:szCs w:val="24"/>
            </w:rPr>
            <w:fldChar w:fldCharType="end"/>
          </w:r>
        </w:p>
      </w:sdtContent>
    </w:sdt>
    <w:p>
      <w:pPr>
        <w:pStyle w:val="Heading1"/>
        <w:numPr>
          <w:ilvl w:val="0"/>
          <w:numId w:val="0"/>
        </w:numPr>
        <w:spacing w:before="240" w:after="360"/>
        <w:ind w:left="0" w:hanging="0"/>
        <w:rPr/>
      </w:pPr>
      <w:r>
        <w:rPr/>
      </w:r>
      <w:r>
        <w:br w:type="page"/>
      </w:r>
    </w:p>
    <w:p>
      <w:pPr>
        <w:pStyle w:val="Heading1"/>
        <w:numPr>
          <w:ilvl w:val="0"/>
          <w:numId w:val="6"/>
        </w:numPr>
        <w:spacing w:before="240" w:after="360"/>
        <w:rPr/>
      </w:pPr>
      <w:bookmarkStart w:id="0" w:name="_Toc112344854"/>
      <w:r>
        <w:rPr/>
        <w:t>Introduction</w:t>
      </w:r>
      <w:bookmarkEnd w:id="0"/>
    </w:p>
    <w:p>
      <w:pPr>
        <w:pStyle w:val="Normal"/>
        <w:rPr/>
      </w:pPr>
      <w:r>
        <w:rPr>
          <w:b/>
          <w:bCs/>
        </w:rPr>
        <w:t>Tomofast-x</w:t>
      </w:r>
      <w:r>
        <w:rPr/>
        <w:t> is a powerful 3D parallel inversion platform designed for single-domain or joint inversion of gravity and magnetic data. It also supports the inversion of gravity gradiometry data (FTG) and can handle multiple-component magnetic data. The platform is capable of inverting for the magnetization vector, including remanence, while incorporating petrophysical constraints [1-6]. To improve the final model by incorporating geological and petrophysical information into the inversion, the code supports various constraints. These include a prior model, cross-gradient constraints, 'smart' gradients, disjoint interval bounds, and clustering constraints. For details on the equations solved and the types of constraints applied, refer to reference [1] and the sources cited therein.</w:t>
      </w:r>
    </w:p>
    <w:p>
      <w:pPr>
        <w:pStyle w:val="Normal"/>
        <w:rPr/>
      </w:pPr>
      <w:r>
        <w:rPr/>
        <w:t>The model grid can accommodate arbitrary surface topography. Unlike other approaches, Tomofast-x does not require the addition of 'air cells' to model the topography. As a result, incorporating topography does not incur additional computational costs.</w:t>
      </w:r>
    </w:p>
    <w:p>
      <w:pPr>
        <w:pStyle w:val="Normal"/>
        <w:rPr/>
      </w:pPr>
      <w:r>
        <w:rPr/>
        <w:t>For visualizing the output 3D models, the code generates results in the VTK file format (binary version for reduced file size). These files can be easily viewed using the free, open-source software ParaView.</w:t>
      </w:r>
    </w:p>
    <w:p>
      <w:pPr>
        <w:pStyle w:val="Normal"/>
        <w:rPr/>
      </w:pPr>
      <w:r>
        <w:rPr/>
        <w:t>The code is written in Fortran 2008 and leverages classes and modern vectorization compiler features to enhance performance. It is fully parallelized using the MPI library, which is the only external dependency. This minimal dependency makes the code easy to build on various machines and straightforward to extend or extract specific components.</w:t>
      </w:r>
    </w:p>
    <w:p>
      <w:pPr>
        <w:pStyle w:val="Normal"/>
        <w:rPr/>
      </w:pPr>
      <w:r>
        <w:rPr/>
        <w:t>The parallel mode enables faster performance and the ability to solve much larger problems by overcoming memory limitations of a single machine. The code can run in parallel on supercomputers with distributed memory systems, utilizing thousands of CPUs, or on modern computers and notebooks with shared memory systems, using anywhere from 2 to 40 CPUs.</w:t>
      </w:r>
    </w:p>
    <w:p>
      <w:pPr>
        <w:pStyle w:val="Normal"/>
        <w:rPr/>
      </w:pPr>
      <w:r>
        <w:rPr/>
        <w:t>Critical parts of the code are covered by automated unit tests, which include tests for parallel execution. The code with some examples can be downloaded from the following GitHub repository:</w:t>
      </w:r>
    </w:p>
    <w:p>
      <w:pPr>
        <w:pStyle w:val="Normal"/>
        <w:rPr/>
      </w:pPr>
      <w:hyperlink r:id="rId2">
        <w:r>
          <w:rPr>
            <w:rStyle w:val="InternetLink"/>
          </w:rPr>
          <w:t>https://github.com/TOMOFAST/Tomofast-x</w:t>
        </w:r>
      </w:hyperlink>
    </w:p>
    <w:p>
      <w:pPr>
        <w:pStyle w:val="Normal"/>
        <w:rPr/>
      </w:pPr>
      <w:r>
        <w:rPr/>
        <w:t>You're welcome to submit pull requests for new features, bug fixes, optimizations, additional examples, and more. If you use this code or any of its components, please remember to cite references [1] and [2].</w:t>
      </w:r>
    </w:p>
    <w:p>
      <w:pPr>
        <w:pStyle w:val="Normal"/>
        <w:rPr/>
      </w:pPr>
      <w:r>
        <w:rPr/>
      </w:r>
      <w:r>
        <w:br w:type="page"/>
      </w:r>
    </w:p>
    <w:p>
      <w:pPr>
        <w:pStyle w:val="Heading1"/>
        <w:numPr>
          <w:ilvl w:val="0"/>
          <w:numId w:val="6"/>
        </w:numPr>
        <w:spacing w:before="240" w:after="360"/>
        <w:rPr/>
      </w:pPr>
      <w:bookmarkStart w:id="1" w:name="_Toc112344855"/>
      <w:r>
        <w:rPr/>
        <w:t>Code compilation</w:t>
      </w:r>
      <w:bookmarkEnd w:id="1"/>
    </w:p>
    <w:p>
      <w:pPr>
        <w:pStyle w:val="Normal"/>
        <w:rPr>
          <w:lang w:eastAsia="en-AU"/>
        </w:rPr>
      </w:pPr>
      <w:r>
        <w:rPr>
          <w:lang w:eastAsia="en-AU"/>
        </w:rPr>
        <w:t>The code compilation is based on Make</w:t>
      </w:r>
      <w:r>
        <w:rPr>
          <w:i/>
          <w:lang w:eastAsia="en-AU"/>
        </w:rPr>
        <w:t>,</w:t>
      </w:r>
      <w:r>
        <w:rPr>
          <w:lang w:eastAsia="en-AU"/>
        </w:rPr>
        <w:t xml:space="preserve"> which is a build automation tool. It is assumed that the code is compiled in Linux environment, even though a Windows build is also possible (e.g. using WSL). To compile the code, you need:</w:t>
      </w:r>
    </w:p>
    <w:p>
      <w:pPr>
        <w:pStyle w:val="ListParagraph"/>
        <w:numPr>
          <w:ilvl w:val="0"/>
          <w:numId w:val="5"/>
        </w:numPr>
        <w:rPr>
          <w:lang w:eastAsia="en-AU"/>
        </w:rPr>
      </w:pPr>
      <w:r>
        <w:rPr>
          <w:lang w:eastAsia="en-AU"/>
        </w:rPr>
        <w:t>Compiler GCC, or Intel Fortran compiler.</w:t>
      </w:r>
    </w:p>
    <w:p>
      <w:pPr>
        <w:pStyle w:val="ListParagraph"/>
        <w:numPr>
          <w:ilvl w:val="0"/>
          <w:numId w:val="5"/>
        </w:numPr>
        <w:rPr>
          <w:lang w:eastAsia="en-AU"/>
        </w:rPr>
      </w:pPr>
      <w:r>
        <w:rPr>
          <w:lang w:eastAsia="en-AU"/>
        </w:rPr>
        <w:t>MPI library (such as OpenMPI or MPICH).</w:t>
      </w:r>
    </w:p>
    <w:p>
      <w:pPr>
        <w:pStyle w:val="Normal"/>
        <w:rPr>
          <w:lang w:eastAsia="en-AU"/>
        </w:rPr>
      </w:pPr>
      <w:r>
        <w:rPr>
          <w:lang w:eastAsia="en-AU"/>
        </w:rPr>
        <w:t>The Makefile is contained in the root folder and should be used to compile Tomofast-x. Compiling the code is a necessary step to be able to run inversions.</w:t>
      </w:r>
    </w:p>
    <w:p>
      <w:pPr>
        <w:pStyle w:val="Normal"/>
        <w:rPr>
          <w:lang w:eastAsia="en-AU"/>
        </w:rPr>
      </w:pPr>
      <w:r>
        <w:rPr>
          <w:lang w:eastAsia="en-AU"/>
        </w:rPr>
        <w:t>To compile the code run the make command in the code directory as: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002060"/>
          <w:sz w:val="22"/>
          <w:szCs w:val="20"/>
          <w:lang w:eastAsia="en-AU"/>
        </w:rPr>
      </w:pPr>
      <w:r>
        <w:rPr>
          <w:rFonts w:eastAsia="Times New Roman" w:cs="Courier New" w:ascii="Consolas" w:hAnsi="Consolas"/>
          <w:color w:val="002060"/>
          <w:sz w:val="22"/>
          <w:szCs w:val="20"/>
          <w:highlight w:val="lightGray"/>
          <w:lang w:eastAsia="en-AU"/>
        </w:rPr>
        <w:t>make</w:t>
      </w:r>
    </w:p>
    <w:p>
      <w:pPr>
        <w:pStyle w:val="Normal"/>
        <w:rPr>
          <w:lang w:eastAsia="en-AU"/>
        </w:rPr>
      </w:pPr>
      <w:r>
        <w:rPr>
          <w:lang w:eastAsia="en-AU"/>
        </w:rPr>
        <w:t>To clean the compilation files (to perform a clean compilation), run:</w:t>
      </w:r>
    </w:p>
    <w:p>
      <w:pPr>
        <w:pStyle w:val="Normal"/>
        <w:rPr>
          <w:rFonts w:ascii="Consolas" w:hAnsi="Consolas" w:eastAsia="Times New Roman" w:cs="Courier New"/>
          <w:color w:val="002060"/>
          <w:sz w:val="22"/>
          <w:szCs w:val="20"/>
          <w:lang w:eastAsia="en-AU"/>
        </w:rPr>
      </w:pPr>
      <w:r>
        <w:rPr>
          <w:rFonts w:eastAsia="Times New Roman" w:cs="Courier New" w:ascii="Consolas" w:hAnsi="Consolas"/>
          <w:color w:val="002060"/>
          <w:sz w:val="22"/>
          <w:szCs w:val="20"/>
          <w:highlight w:val="lightGray"/>
          <w:lang w:eastAsia="en-AU"/>
        </w:rPr>
        <w:t>make clean</w:t>
      </w:r>
    </w:p>
    <w:p>
      <w:pPr>
        <w:pStyle w:val="Normal"/>
        <w:rPr>
          <w:lang w:eastAsia="en-AU"/>
        </w:rPr>
      </w:pPr>
      <w:r>
        <w:rPr>
          <w:lang w:eastAsia="en-AU"/>
        </w:rPr>
        <w:t>To run the code with your parameter file: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002060"/>
          <w:sz w:val="22"/>
          <w:szCs w:val="20"/>
          <w:lang w:eastAsia="en-AU"/>
        </w:rPr>
      </w:pPr>
      <w:r>
        <w:rPr>
          <w:rFonts w:eastAsia="Times New Roman" w:cs="Courier New" w:ascii="Consolas" w:hAnsi="Consolas"/>
          <w:color w:val="002060"/>
          <w:sz w:val="22"/>
          <w:szCs w:val="20"/>
          <w:highlight w:val="lightGray"/>
          <w:lang w:eastAsia="en-AU"/>
        </w:rPr>
        <w:t>mpirun -np &lt;Number-of-cores&gt; ./tomofastx -j &lt;Parfile path&gt;</w:t>
      </w:r>
    </w:p>
    <w:p>
      <w:pPr>
        <w:pStyle w:val="Normal"/>
        <w:rPr>
          <w:lang w:eastAsia="en-AU"/>
        </w:rPr>
      </w:pPr>
      <w:r>
        <w:rPr>
          <w:lang w:eastAsia="en-AU"/>
        </w:rPr>
      </w:r>
    </w:p>
    <w:p>
      <w:pPr>
        <w:pStyle w:val="Normal"/>
        <w:rPr>
          <w:lang w:eastAsia="en-AU"/>
        </w:rPr>
      </w:pPr>
      <w:r>
        <w:rPr>
          <w:lang w:eastAsia="en-AU"/>
        </w:rPr>
        <w:t>To run unit tests in serial: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002060"/>
          <w:sz w:val="36"/>
          <w:szCs w:val="20"/>
          <w:lang w:eastAsia="en-AU"/>
        </w:rPr>
      </w:pPr>
      <w:r>
        <w:rPr>
          <w:rFonts w:eastAsia="Times New Roman" w:cs="Courier New" w:ascii="Consolas" w:hAnsi="Consolas"/>
          <w:color w:val="002060"/>
          <w:sz w:val="22"/>
          <w:szCs w:val="20"/>
          <w:highlight w:val="lightGray"/>
          <w:lang w:eastAsia="en-AU"/>
        </w:rPr>
        <w:t>./runtests.sh</w:t>
      </w:r>
    </w:p>
    <w:p>
      <w:pPr>
        <w:pStyle w:val="Normal"/>
        <w:rPr>
          <w:rFonts w:ascii="Consolas" w:hAnsi="Consolas" w:eastAsia="Times New Roman" w:cs="Courier New"/>
          <w:color w:val="24292E"/>
          <w:sz w:val="20"/>
          <w:szCs w:val="20"/>
          <w:lang w:eastAsia="en-AU"/>
        </w:rPr>
      </w:pPr>
      <w:r>
        <w:rPr>
          <w:lang w:eastAsia="en-AU"/>
        </w:rPr>
        <w:t>and in parallel: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002060"/>
          <w:sz w:val="22"/>
          <w:szCs w:val="20"/>
          <w:lang w:eastAsia="en-AU"/>
        </w:rPr>
      </w:pPr>
      <w:r>
        <w:rPr>
          <w:rFonts w:eastAsia="Times New Roman" w:cs="Courier New" w:ascii="Consolas" w:hAnsi="Consolas"/>
          <w:color w:val="002060"/>
          <w:sz w:val="22"/>
          <w:szCs w:val="20"/>
          <w:highlight w:val="lightGray"/>
          <w:lang w:eastAsia="en-AU"/>
        </w:rPr>
        <w:t>mpirun -np 3 ./runtests.sh</w:t>
      </w:r>
    </w:p>
    <w:p>
      <w:pPr>
        <w:pStyle w:val="Normal"/>
        <w:rPr>
          <w:lang w:eastAsia="en-AU"/>
        </w:rPr>
      </w:pPr>
      <w:r>
        <w:rPr>
          <w:lang w:eastAsia="en-AU"/>
        </w:rPr>
        <w:t>Note, that the Makefile by default assumes the GCC compiler. It can be switched to the Intel compiler by setting “FC = mpiifort” and switching the FLAGS</w:t>
      </w:r>
      <w:r>
        <w:rPr>
          <w:color w:val="002060"/>
          <w:lang w:eastAsia="en-AU"/>
        </w:rPr>
        <w:t xml:space="preserve"> </w:t>
      </w:r>
      <w:r>
        <w:rPr>
          <w:lang w:eastAsia="en-AU"/>
        </w:rPr>
        <w:t xml:space="preserve">variable definition to the Intel one (commented out by default). </w:t>
      </w:r>
    </w:p>
    <w:p>
      <w:pPr>
        <w:pStyle w:val="Normal"/>
        <w:rPr>
          <w:lang w:eastAsia="en-AU"/>
        </w:rPr>
      </w:pPr>
      <w:r>
        <w:rPr>
          <w:lang w:eastAsia="en-AU"/>
        </w:rPr>
        <w:t>For full debugging information, in the Makefile different sets of FLAGS are provided. The flags to output the vector optimization report, OPT_INFO, can also be enabled.</w:t>
      </w:r>
      <w:r>
        <w:br w:type="page"/>
      </w:r>
    </w:p>
    <w:p>
      <w:pPr>
        <w:pStyle w:val="Heading1"/>
        <w:numPr>
          <w:ilvl w:val="0"/>
          <w:numId w:val="6"/>
        </w:numPr>
        <w:spacing w:before="240" w:after="360"/>
        <w:ind w:left="431" w:hanging="431"/>
        <w:rPr/>
      </w:pPr>
      <w:bookmarkStart w:id="2" w:name="_Toc112344856"/>
      <w:r>
        <w:rPr/>
        <w:t>Description of code parameters</w:t>
      </w:r>
      <w:bookmarkEnd w:id="2"/>
    </w:p>
    <w:p>
      <w:pPr>
        <w:pStyle w:val="Normal"/>
        <w:rPr/>
      </w:pPr>
      <w:r>
        <w:rPr/>
        <w:t>To run the code, you need to specify various configuration parameters, including paths to input data files, free parameters for the cost function and constraints, solver settings, and additional options.</w:t>
      </w:r>
    </w:p>
    <w:p>
      <w:pPr>
        <w:pStyle w:val="Normal"/>
        <w:rPr/>
      </w:pPr>
      <w:r>
        <w:rPr/>
        <w:t xml:space="preserve">All input parameters are defined in a single text file called the Parfile, which is organized into several categories to separate different parameter types. For a comprehensive Parfile that lists all available input parameters along with their default values and descriptions, refer to the file </w:t>
      </w:r>
      <w:r>
        <w:rPr>
          <w:b/>
          <w:bCs/>
        </w:rPr>
        <w:t>Parameters_all.txt</w:t>
      </w:r>
      <w:r>
        <w:rPr/>
        <w:t xml:space="preserve"> located in the root directory of the code. A description of each parameter category, along with its name prefix (indicated in brackets), is provided below.</w:t>
      </w:r>
    </w:p>
    <w:p>
      <w:pPr>
        <w:pStyle w:val="Heading2"/>
        <w:numPr>
          <w:ilvl w:val="1"/>
          <w:numId w:val="6"/>
        </w:numPr>
        <w:rPr/>
      </w:pPr>
      <w:bookmarkStart w:id="3" w:name="_Toc112344857"/>
      <w:r>
        <w:rPr/>
        <w:t>Global (</w:t>
      </w:r>
      <w:r>
        <w:rPr>
          <w:rFonts w:ascii="Consolas" w:hAnsi="Consolas"/>
          <w:color w:val="002060"/>
          <w:sz w:val="22"/>
        </w:rPr>
        <w:t>global</w:t>
      </w:r>
      <w:r>
        <w:rPr/>
        <w:t>)</w:t>
      </w:r>
      <w:bookmarkEnd w:id="3"/>
    </w:p>
    <w:p>
      <w:pPr>
        <w:pStyle w:val="Normal"/>
        <w:rPr/>
      </w:pPr>
      <w:r>
        <w:rPr/>
        <w:t>Contains the path to the output data folder, along with parameters for unit conversions and Z-axis orientation.</w:t>
      </w:r>
    </w:p>
    <w:p>
      <w:pPr>
        <w:pStyle w:val="Heading2"/>
        <w:numPr>
          <w:ilvl w:val="1"/>
          <w:numId w:val="6"/>
        </w:numPr>
        <w:rPr>
          <w:highlight w:val="white"/>
        </w:rPr>
      </w:pPr>
      <w:bookmarkStart w:id="4" w:name="_Toc112344858"/>
      <w:r>
        <w:rPr>
          <w:shd w:fill="FFFFFF" w:val="clear"/>
        </w:rPr>
        <w:t>Model grid (</w:t>
      </w:r>
      <w:r>
        <w:rPr>
          <w:rFonts w:ascii="Consolas" w:hAnsi="Consolas"/>
          <w:color w:val="002060"/>
          <w:sz w:val="22"/>
          <w:shd w:fill="FFFFFF" w:val="clear"/>
        </w:rPr>
        <w:t>modelGrid</w:t>
      </w:r>
      <w:r>
        <w:rPr>
          <w:shd w:fill="FFFFFF" w:val="clear"/>
        </w:rPr>
        <w:t>)</w:t>
      </w:r>
      <w:bookmarkEnd w:id="4"/>
    </w:p>
    <w:p>
      <w:pPr>
        <w:pStyle w:val="Normal"/>
        <w:rPr/>
      </w:pPr>
      <w:r>
        <w:rPr/>
        <w:t>Contains the total number of grid cells, and paths to the model grid files.</w:t>
      </w:r>
    </w:p>
    <w:p>
      <w:pPr>
        <w:pStyle w:val="Normal"/>
        <w:rPr/>
      </w:pPr>
      <w:r>
        <w:rPr/>
        <w:t>For forward data calculation from a synthetic model, the known model values can be specified in the model grid file (column #7). If a synthetic model is unavailable, the model values in the grid file can be set to zero. For details on the file format, please refer to the next section of this manual.</w:t>
      </w:r>
    </w:p>
    <w:p>
      <w:pPr>
        <w:pStyle w:val="Heading2"/>
        <w:numPr>
          <w:ilvl w:val="1"/>
          <w:numId w:val="6"/>
        </w:numPr>
        <w:rPr/>
      </w:pPr>
      <w:bookmarkStart w:id="5" w:name="_Toc112344859"/>
      <w:r>
        <w:rPr/>
        <w:t>Data (</w:t>
      </w:r>
      <w:r>
        <w:rPr>
          <w:rFonts w:ascii="Consolas" w:hAnsi="Consolas"/>
          <w:color w:val="002060"/>
          <w:sz w:val="22"/>
          <w:szCs w:val="18"/>
          <w:shd w:fill="FFFFFF" w:val="clear"/>
        </w:rPr>
        <w:t>forward.data</w:t>
      </w:r>
      <w:r>
        <w:rPr/>
        <w:t>)</w:t>
      </w:r>
      <w:bookmarkEnd w:id="5"/>
    </w:p>
    <w:p>
      <w:pPr>
        <w:pStyle w:val="Normal"/>
        <w:rPr/>
      </w:pPr>
      <w:r>
        <w:rPr/>
        <w:t>Contains the number of data, and paths to data grids, and the observed data to be inverted. Note, that the data grid and data values files have the same file format and can point to the same files. For details on the file format, please refer to the next section of this manual.</w:t>
      </w:r>
    </w:p>
    <w:p>
      <w:pPr>
        <w:pStyle w:val="Heading2"/>
        <w:numPr>
          <w:ilvl w:val="1"/>
          <w:numId w:val="6"/>
        </w:numPr>
        <w:rPr>
          <w:highlight w:val="white"/>
        </w:rPr>
      </w:pPr>
      <w:bookmarkStart w:id="6" w:name="_Toc112344860"/>
      <w:r>
        <w:rPr>
          <w:shd w:fill="FFFFFF" w:val="clear"/>
        </w:rPr>
        <w:t>Magnetic field (</w:t>
      </w:r>
      <w:r>
        <w:rPr>
          <w:rFonts w:ascii="Consolas" w:hAnsi="Consolas"/>
          <w:color w:val="002060"/>
          <w:sz w:val="22"/>
          <w:szCs w:val="18"/>
          <w:shd w:fill="FFFFFF" w:val="clear"/>
        </w:rPr>
        <w:t>forward.magneticField</w:t>
      </w:r>
      <w:r>
        <w:rPr/>
        <w:t>)</w:t>
      </w:r>
      <w:bookmarkEnd w:id="6"/>
    </w:p>
    <w:p>
      <w:pPr>
        <w:pStyle w:val="Normal"/>
        <w:rPr>
          <w:highlight w:val="white"/>
        </w:rPr>
      </w:pPr>
      <w:r>
        <w:rPr>
          <w:shd w:fill="FFFFFF" w:val="clear"/>
        </w:rPr>
        <w:t>Constants describing the external (Earth) magnetic field, necessary for calculating the forward magnetic problem (including inclination/declination angles, field intensity, etc.).</w:t>
      </w:r>
    </w:p>
    <w:p>
      <w:pPr>
        <w:pStyle w:val="Heading2"/>
        <w:numPr>
          <w:ilvl w:val="1"/>
          <w:numId w:val="6"/>
        </w:numPr>
        <w:rPr/>
      </w:pPr>
      <w:bookmarkStart w:id="7" w:name="_Toc112344861"/>
      <w:r>
        <w:rPr/>
        <w:t>Depth weighting (</w:t>
      </w:r>
      <w:r>
        <w:rPr>
          <w:rFonts w:ascii="Consolas" w:hAnsi="Consolas"/>
          <w:color w:val="002060"/>
          <w:sz w:val="22"/>
          <w:shd w:fill="FFFFFF" w:val="clear"/>
        </w:rPr>
        <w:t>forward.depthWeighting</w:t>
      </w:r>
      <w:r>
        <w:rPr/>
        <w:t>)</w:t>
      </w:r>
      <w:bookmarkEnd w:id="7"/>
    </w:p>
    <w:p>
      <w:pPr>
        <w:pStyle w:val="Normal"/>
        <w:rPr/>
      </w:pPr>
      <w:r>
        <w:rPr/>
        <w:t xml:space="preserve">Contains parameters to configure the depth weighting used. The </w:t>
      </w:r>
      <w:r>
        <w:rPr>
          <w:b/>
          <w:bCs/>
        </w:rPr>
        <w:t>type</w:t>
      </w:r>
      <w:r>
        <w:rPr/>
        <w:t xml:space="preserve"> parameter specifies the type of depth weighting. The type 1, is based on the inverse power law of the distance from the surface to the j</w:t>
      </w:r>
      <w:r>
        <w:rPr>
          <w:vertAlign w:val="superscript"/>
        </w:rPr>
        <w:t>th</w:t>
      </w:r>
      <w:r>
        <w:rPr/>
        <w:t xml:space="preserve"> grid cell, defined as:</w:t>
      </w:r>
    </w:p>
    <w:p>
      <w:pPr>
        <w:pStyle w:val="Normal"/>
        <w:jc w:val="center"/>
        <w:rPr>
          <w:szCs w:val="24"/>
        </w:rPr>
      </w:pP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j</m:t>
            </m:r>
          </m:e>
        </m:d>
        <m:r>
          <w:rPr>
            <w:rFonts w:ascii="Cambria Math" w:hAnsi="Cambria Math"/>
          </w:rPr>
          <m:t xml:space="preserve">=</m:t>
        </m:r>
        <m:f>
          <m:num>
            <m:r>
              <w:rPr>
                <w:rFonts w:ascii="Cambria Math" w:hAnsi="Cambria Math"/>
              </w:rPr>
              <m:t xml:space="preserve">1</m:t>
            </m:r>
          </m:num>
          <m:den>
            <m:sSup>
              <m:e>
                <m:d>
                  <m:dPr>
                    <m:begChr m:val="("/>
                    <m:endChr m:val=")"/>
                  </m:dPr>
                  <m:e>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f>
                  <m:fPr>
                    <m:type m:val="lin"/>
                  </m:fPr>
                  <m:num>
                    <m:r>
                      <w:rPr>
                        <w:rFonts w:ascii="Cambria Math" w:hAnsi="Cambria Math"/>
                      </w:rPr>
                      <m:t xml:space="preserve">q</m:t>
                    </m:r>
                  </m:num>
                  <m:den>
                    <m:r>
                      <w:rPr>
                        <w:rFonts w:ascii="Cambria Math" w:hAnsi="Cambria Math"/>
                      </w:rPr>
                      <m:t xml:space="preserve">2</m:t>
                    </m:r>
                  </m:den>
                </m:f>
              </m:sup>
            </m:sSup>
          </m:den>
        </m:f>
      </m:oMath>
    </w:p>
    <w:p>
      <w:pPr>
        <w:pStyle w:val="Normal"/>
        <w:rPr>
          <w:rFonts w:eastAsia="" w:eastAsiaTheme="minorEastAsia"/>
        </w:rPr>
      </w:pPr>
      <w:r>
        <w:rPr/>
        <w:t xml:space="preserve">The corresponding free parameters, power </w:t>
      </w:r>
      <w:r>
        <w:rPr/>
      </w:r>
      <m:oMath xmlns:m="http://schemas.openxmlformats.org/officeDocument/2006/math">
        <m:r>
          <w:rPr>
            <w:rFonts w:ascii="Cambria Math" w:hAnsi="Cambria Math"/>
          </w:rPr>
          <m:t xml:space="preserve">q</m:t>
        </m:r>
      </m:oMath>
      <w:r>
        <w:rPr>
          <w:rFonts w:eastAsia="" w:eastAsiaTheme="minorEastAsia"/>
        </w:rPr>
        <w:t xml:space="preserve"> and a shift </w:t>
      </w:r>
      <w:r>
        <w:rPr/>
      </w:r>
      <m:oMath xmlns:m="http://schemas.openxmlformats.org/officeDocument/2006/math">
        <m:sSub>
          <m:e>
            <m:r>
              <w:rPr>
                <w:rFonts w:ascii="Cambria Math" w:hAnsi="Cambria Math"/>
              </w:rPr>
              <m:t xml:space="preserve">Z</m:t>
            </m:r>
          </m:e>
          <m:sub>
            <m:r>
              <w:rPr>
                <w:rFonts w:ascii="Cambria Math" w:hAnsi="Cambria Math"/>
              </w:rPr>
              <m:t xml:space="preserve">0</m:t>
            </m:r>
          </m:sub>
        </m:sSub>
      </m:oMath>
      <w:r>
        <w:rPr>
          <w:rFonts w:eastAsia="" w:eastAsiaTheme="minorEastAsia"/>
        </w:rPr>
        <w:t xml:space="preserve"> can be specified in parameters </w:t>
      </w:r>
      <w:r>
        <w:rPr>
          <w:b/>
          <w:bCs/>
        </w:rPr>
        <w:t>power</w:t>
      </w:r>
      <w:r>
        <w:rPr>
          <w:rFonts w:ascii="Consolas" w:hAnsi="Consolas"/>
          <w:color w:val="002060"/>
          <w:sz w:val="22"/>
          <w:szCs w:val="18"/>
          <w:shd w:fill="FFFFFF" w:val="clear"/>
        </w:rPr>
        <w:t xml:space="preserve"> </w:t>
      </w:r>
      <w:r>
        <w:rPr>
          <w:rFonts w:eastAsia="" w:eastAsiaTheme="minorEastAsia"/>
        </w:rPr>
        <w:t xml:space="preserve">and </w:t>
      </w:r>
      <w:r>
        <w:rPr>
          <w:b/>
          <w:bCs/>
        </w:rPr>
        <w:t>Z0</w:t>
      </w:r>
      <w:r>
        <w:rPr>
          <w:rFonts w:eastAsia="" w:eastAsiaTheme="minorEastAsia"/>
        </w:rPr>
        <w:t xml:space="preserve">, for gravity and magnetic problems separately. Note that as the magnetic field attenuates with distance faster than gravitational one, the power </w:t>
      </w:r>
      <w:r>
        <w:rPr/>
      </w:r>
      <m:oMath xmlns:m="http://schemas.openxmlformats.org/officeDocument/2006/math">
        <m:r>
          <w:rPr>
            <w:rFonts w:ascii="Cambria Math" w:hAnsi="Cambria Math"/>
          </w:rPr>
          <m:t xml:space="preserve">q</m:t>
        </m:r>
      </m:oMath>
      <w:r>
        <w:rPr>
          <w:rFonts w:eastAsia="" w:eastAsiaTheme="minorEastAsia"/>
        </w:rPr>
        <w:t xml:space="preserve"> for magnetic problem is usually higher. The exact values of the powers should be configured for a model of interest, as they depend on the model grid (cells) dimensions, and data locations.</w:t>
      </w:r>
    </w:p>
    <w:p>
      <w:pPr>
        <w:pStyle w:val="Normal"/>
        <w:rPr>
          <w:rFonts w:eastAsia="" w:eastAsiaTheme="minorEastAsia"/>
          <w:szCs w:val="24"/>
        </w:rPr>
      </w:pPr>
      <w:r>
        <w:rPr/>
        <w:t xml:space="preserve">The depth weighting type 2 corresponds to the depth weighting based on the distance to data (i.e., it varies in all model dimensions). It is a preferable option for models with non-flat topography. </w:t>
      </w:r>
      <w:r>
        <w:rPr>
          <w:rFonts w:eastAsia="" w:eastAsiaTheme="minorEastAsia"/>
          <w:szCs w:val="24"/>
        </w:rPr>
        <w:t>For more details, see Ref. [1].</w:t>
      </w:r>
    </w:p>
    <w:p>
      <w:pPr>
        <w:pStyle w:val="Heading2"/>
        <w:numPr>
          <w:ilvl w:val="1"/>
          <w:numId w:val="6"/>
        </w:numPr>
        <w:rPr>
          <w:highlight w:val="white"/>
        </w:rPr>
      </w:pPr>
      <w:bookmarkStart w:id="8" w:name="_Toc112344862"/>
      <w:r>
        <w:rPr>
          <w:shd w:fill="FFFFFF" w:val="clear"/>
        </w:rPr>
        <w:t>Sensitivity kernel (</w:t>
      </w:r>
      <w:r>
        <w:rPr>
          <w:rFonts w:ascii="Consolas" w:hAnsi="Consolas"/>
          <w:color w:val="002060"/>
          <w:sz w:val="22"/>
          <w:shd w:fill="FFFFFF" w:val="clear"/>
        </w:rPr>
        <w:t>sensit</w:t>
      </w:r>
      <w:r>
        <w:rPr>
          <w:shd w:fill="FFFFFF" w:val="clear"/>
        </w:rPr>
        <w:t>)</w:t>
      </w:r>
      <w:bookmarkEnd w:id="8"/>
    </w:p>
    <w:p>
      <w:pPr>
        <w:pStyle w:val="Normal"/>
        <w:rPr>
          <w:rFonts w:ascii="Consolas" w:hAnsi="Consolas"/>
          <w:color w:val="24292F"/>
          <w:sz w:val="18"/>
          <w:szCs w:val="18"/>
          <w:highlight w:val="white"/>
        </w:rPr>
      </w:pPr>
      <w:r>
        <w:rPr>
          <w:shd w:fill="FFFFFF" w:val="clear"/>
        </w:rPr>
        <w:t xml:space="preserve">This section allows you to set a flag to reuse an already calculated sensitivity kernel. The path to the sensitivity kernel is specified in the parameter </w:t>
      </w:r>
      <w:r>
        <w:rPr>
          <w:b/>
          <w:bCs/>
          <w:shd w:fill="FFFFFF" w:val="clear"/>
        </w:rPr>
        <w:t>folderPath</w:t>
      </w:r>
      <w:r>
        <w:rPr>
          <w:shd w:fill="FFFFFF" w:val="clear"/>
        </w:rPr>
        <w:t>. This feature is useful for saving computation time when recalculating the sensitivity kernel is not necessary, such as when changing constraint parameters or types, or when using a different background field for data reduction.</w:t>
      </w:r>
    </w:p>
    <w:p>
      <w:pPr>
        <w:pStyle w:val="Heading2"/>
        <w:numPr>
          <w:ilvl w:val="1"/>
          <w:numId w:val="6"/>
        </w:numPr>
        <w:rPr>
          <w:highlight w:val="white"/>
        </w:rPr>
      </w:pPr>
      <w:bookmarkStart w:id="9" w:name="_Toc112344863"/>
      <w:r>
        <w:rPr>
          <w:shd w:fill="FFFFFF" w:val="clear"/>
        </w:rPr>
        <w:t>Matrix compression (</w:t>
      </w:r>
      <w:r>
        <w:rPr>
          <w:rFonts w:ascii="Consolas" w:hAnsi="Consolas"/>
          <w:color w:val="002060"/>
          <w:sz w:val="22"/>
          <w:shd w:fill="FFFFFF" w:val="clear"/>
        </w:rPr>
        <w:t>forward.matrixCompression</w:t>
      </w:r>
      <w:r>
        <w:rPr>
          <w:shd w:fill="FFFFFF" w:val="clear"/>
        </w:rPr>
        <w:t>)</w:t>
      </w:r>
      <w:bookmarkEnd w:id="9"/>
    </w:p>
    <w:p>
      <w:pPr>
        <w:pStyle w:val="Normal"/>
        <w:rPr>
          <w:highlight w:val="white"/>
        </w:rPr>
      </w:pPr>
      <w:r>
        <w:rPr>
          <w:shd w:fill="FFFFFF" w:val="clear"/>
        </w:rPr>
        <w:t>This section allows you to configure sensitivity matrix compression using wavelet compression, which is especially useful for running large models on machines with limited memory and significantly speeds up calculations. The level of compression can be adjusted by modifying the compression rate parameter, where a value of 1 corresponds to the full matrix (i.e., no compression). The compression error is logged for reference.</w:t>
      </w:r>
    </w:p>
    <w:p>
      <w:pPr>
        <w:pStyle w:val="Heading2"/>
        <w:numPr>
          <w:ilvl w:val="1"/>
          <w:numId w:val="6"/>
        </w:numPr>
        <w:rPr/>
      </w:pPr>
      <w:bookmarkStart w:id="10" w:name="_Toc112344864"/>
      <w:r>
        <w:rPr/>
        <w:t>Prior model (</w:t>
      </w:r>
      <w:r>
        <w:rPr>
          <w:rFonts w:ascii="Consolas" w:hAnsi="Consolas"/>
          <w:color w:val="002060"/>
          <w:sz w:val="22"/>
          <w:szCs w:val="18"/>
          <w:shd w:fill="FFFFFF" w:val="clear"/>
        </w:rPr>
        <w:t>inversion.priorModel</w:t>
      </w:r>
      <w:r>
        <w:rPr/>
        <w:t>)</w:t>
      </w:r>
      <w:bookmarkEnd w:id="10"/>
    </w:p>
    <w:p>
      <w:pPr>
        <w:pStyle w:val="Normal"/>
        <w:rPr/>
      </w:pPr>
      <w:r>
        <w:rPr/>
        <w:t xml:space="preserve">The prior </w:t>
      </w:r>
      <w:r>
        <w:rPr/>
        <w:t>(or reference)</w:t>
      </w:r>
      <w:r>
        <w:rPr/>
        <w:t xml:space="preserve"> model is used to apply model damping constraints to the cost function (see Ref. [2]). The parameter </w:t>
      </w:r>
      <w:r>
        <w:rPr>
          <w:b/>
          <w:bCs/>
        </w:rPr>
        <w:t>type</w:t>
      </w:r>
      <w:r>
        <w:rPr/>
        <w:t xml:space="preserve"> defines how the prior model is initialized. If type 1 is selected, all values in the prior model will be initialized from a value specified in the </w:t>
      </w:r>
      <w:r>
        <w:rPr>
          <w:b/>
          <w:bCs/>
        </w:rPr>
        <w:t>value</w:t>
      </w:r>
      <w:r>
        <w:rPr/>
        <w:t xml:space="preserve"> parameter. If type 2 is chosen, the prior model will be read from a file, with the file path specified in the </w:t>
      </w:r>
      <w:r>
        <w:rPr>
          <w:b/>
          <w:bCs/>
        </w:rPr>
        <w:t>file</w:t>
      </w:r>
      <w:r>
        <w:rPr/>
        <w:t xml:space="preserve"> parameter.</w:t>
      </w:r>
    </w:p>
    <w:p>
      <w:pPr>
        <w:pStyle w:val="Heading2"/>
        <w:numPr>
          <w:ilvl w:val="1"/>
          <w:numId w:val="6"/>
        </w:numPr>
        <w:rPr/>
      </w:pPr>
      <w:bookmarkStart w:id="11" w:name="_Toc112344865"/>
      <w:r>
        <w:rPr/>
        <w:t>Starting model (</w:t>
      </w:r>
      <w:r>
        <w:rPr>
          <w:rFonts w:ascii="Consolas" w:hAnsi="Consolas"/>
          <w:color w:val="002060"/>
          <w:sz w:val="22"/>
          <w:szCs w:val="18"/>
          <w:shd w:fill="FFFFFF" w:val="clear"/>
        </w:rPr>
        <w:t>inversion.startingModel</w:t>
      </w:r>
      <w:r>
        <w:rPr/>
        <w:t>)</w:t>
      </w:r>
      <w:bookmarkEnd w:id="11"/>
    </w:p>
    <w:p>
      <w:pPr>
        <w:pStyle w:val="Normal"/>
        <w:rPr/>
      </w:pPr>
      <w:r>
        <w:rPr/>
        <w:t>The starting model serves as the initial model in the iterative inversion process. The input parameters are the same as those for the prior model (see above). It is often a good practice to set the starting model to zero to avoid propagating any 'bad' structures into the inversion results, as these can be difficult to remove due to 'null-space' issues.</w:t>
      </w:r>
    </w:p>
    <w:p>
      <w:pPr>
        <w:pStyle w:val="Heading2"/>
        <w:numPr>
          <w:ilvl w:val="1"/>
          <w:numId w:val="6"/>
        </w:numPr>
        <w:rPr/>
      </w:pPr>
      <w:bookmarkStart w:id="12" w:name="_Toc112344866"/>
      <w:r>
        <w:rPr/>
        <w:t>Inversion (</w:t>
      </w:r>
      <w:r>
        <w:rPr>
          <w:rFonts w:ascii="Consolas" w:hAnsi="Consolas"/>
          <w:color w:val="002060"/>
          <w:sz w:val="22"/>
        </w:rPr>
        <w:t>inversion</w:t>
      </w:r>
      <w:r>
        <w:rPr/>
        <w:t>)</w:t>
      </w:r>
      <w:bookmarkEnd w:id="12"/>
    </w:p>
    <w:p>
      <w:pPr>
        <w:pStyle w:val="Normal"/>
        <w:rPr/>
      </w:pPr>
      <w:r>
        <w:rPr/>
        <w:t xml:space="preserve">This section contains the number of nonlinear inversion iterations (major loop), </w:t>
      </w:r>
      <w:r>
        <w:rPr>
          <w:rFonts w:cs="Calibri" w:cstheme="minorHAnsi"/>
          <w:b/>
          <w:bCs/>
          <w:sz w:val="22"/>
          <w:szCs w:val="18"/>
          <w:shd w:fill="FFFFFF" w:val="clear"/>
        </w:rPr>
        <w:t>nMajorIterations</w:t>
      </w:r>
      <w:r>
        <w:rPr>
          <w:rFonts w:ascii="Consolas" w:hAnsi="Consolas"/>
          <w:color w:val="24292E"/>
          <w:sz w:val="18"/>
          <w:szCs w:val="18"/>
          <w:shd w:fill="FFFFFF" w:val="clear"/>
        </w:rPr>
        <w:t xml:space="preserve">, </w:t>
      </w:r>
      <w:r>
        <w:rPr/>
        <w:t xml:space="preserve">and several stopping criteria for the inversion solver: </w:t>
      </w:r>
    </w:p>
    <w:p>
      <w:pPr>
        <w:pStyle w:val="Normal"/>
        <w:rPr/>
      </w:pPr>
      <w:r>
        <w:rPr/>
        <w:t xml:space="preserve">(1) based on the number of solver iterations (minor loop), </w:t>
      </w:r>
      <w:r>
        <w:rPr>
          <w:b/>
          <w:bCs/>
        </w:rPr>
        <w:t>nMinorIterations</w:t>
      </w:r>
      <w:r>
        <w:rPr>
          <w:rFonts w:ascii="Consolas" w:hAnsi="Consolas"/>
          <w:color w:val="24292E"/>
          <w:sz w:val="18"/>
          <w:szCs w:val="18"/>
          <w:shd w:fill="FFFFFF" w:val="clear"/>
        </w:rPr>
        <w:t>,</w:t>
      </w:r>
      <w:r>
        <w:rPr/>
        <w:t xml:space="preserve"> </w:t>
      </w:r>
    </w:p>
    <w:p>
      <w:pPr>
        <w:pStyle w:val="Normal"/>
        <w:rPr/>
      </w:pPr>
      <w:r>
        <w:rPr/>
        <w:t xml:space="preserve">(2) based on the smallest relative residual, </w:t>
      </w:r>
      <w:r>
        <w:rPr>
          <w:b/>
          <w:bCs/>
        </w:rPr>
        <w:t>minResidual</w:t>
      </w:r>
      <w:r>
        <w:rPr>
          <w:rFonts w:ascii="Consolas" w:hAnsi="Consolas"/>
          <w:color w:val="24292E"/>
          <w:sz w:val="18"/>
          <w:szCs w:val="18"/>
          <w:shd w:fill="FFFFFF" w:val="clear"/>
        </w:rPr>
        <w:t>.</w:t>
      </w:r>
      <w:r>
        <w:rPr/>
        <w:t xml:space="preserve"> </w:t>
      </w:r>
    </w:p>
    <w:p>
      <w:pPr>
        <w:pStyle w:val="Normal"/>
        <w:rPr/>
      </w:pPr>
      <w:r>
        <w:rPr/>
        <w:t xml:space="preserve">(3) based on the target data misfit (specified in SI units), </w:t>
      </w:r>
      <w:r>
        <w:rPr>
          <w:b/>
          <w:bCs/>
        </w:rPr>
        <w:t>targetMisfit</w:t>
      </w:r>
      <w:r>
        <w:rPr/>
        <w:t>.</w:t>
      </w:r>
    </w:p>
    <w:p>
      <w:pPr>
        <w:pStyle w:val="Normal"/>
        <w:rPr>
          <w:rFonts w:eastAsia="" w:eastAsiaTheme="minorEastAsia"/>
        </w:rPr>
      </w:pPr>
      <w:r>
        <w:rPr/>
        <w:t>It is recommended to keep the first two parameters equal to 100 and 1e-13, respectively. While the number of major iterations can depend on the type of constraints added to the inversion. For example, unconstrained inversions require 1-2 major iterations, while the petrophysical (ADMM) constraints typically require 20-100 major iterations.</w:t>
      </w:r>
    </w:p>
    <w:p>
      <w:pPr>
        <w:pStyle w:val="Heading2"/>
        <w:numPr>
          <w:ilvl w:val="1"/>
          <w:numId w:val="6"/>
        </w:numPr>
        <w:rPr/>
      </w:pPr>
      <w:bookmarkStart w:id="13" w:name="_Toc112344867"/>
      <w:r>
        <w:rPr/>
        <w:t>Model damping (</w:t>
      </w:r>
      <w:r>
        <w:rPr>
          <w:rFonts w:ascii="Consolas" w:hAnsi="Consolas"/>
          <w:color w:val="002060"/>
          <w:sz w:val="22"/>
          <w:shd w:fill="FFFFFF" w:val="clear"/>
        </w:rPr>
        <w:t>inversion.modelDamping</w:t>
      </w:r>
      <w:r>
        <w:rPr/>
        <w:t>)</w:t>
      </w:r>
      <w:bookmarkEnd w:id="13"/>
    </w:p>
    <w:p>
      <w:pPr>
        <w:pStyle w:val="Normal"/>
        <w:rPr>
          <w:rFonts w:eastAsia="" w:eastAsiaTheme="minorEastAsia"/>
        </w:rPr>
      </w:pPr>
      <w:r>
        <w:rPr/>
        <w:t xml:space="preserve">Contains a damping weight </w:t>
      </w:r>
      <w:r>
        <w:rPr/>
      </w:r>
      <m:oMath xmlns:m="http://schemas.openxmlformats.org/officeDocument/2006/math">
        <m:r>
          <w:rPr>
            <w:rFonts w:ascii="Cambria Math" w:hAnsi="Cambria Math"/>
          </w:rPr>
          <m:t xml:space="preserve">α</m:t>
        </m:r>
      </m:oMath>
      <w:r>
        <w:rPr>
          <w:rFonts w:eastAsia="" w:eastAsiaTheme="minorEastAsia"/>
        </w:rPr>
        <w:t xml:space="preserve"> and the </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rFonts w:eastAsia="" w:eastAsiaTheme="minorEastAsia"/>
        </w:rPr>
        <w:t xml:space="preserve"> norm power </w:t>
      </w:r>
      <w:r>
        <w:rPr/>
      </w:r>
      <m:oMath xmlns:m="http://schemas.openxmlformats.org/officeDocument/2006/math">
        <m:r>
          <w:rPr>
            <w:rFonts w:ascii="Cambria Math" w:hAnsi="Cambria Math"/>
          </w:rPr>
          <m:t xml:space="preserve">p</m:t>
        </m:r>
      </m:oMath>
      <w:r>
        <w:rPr>
          <w:rFonts w:eastAsia="" w:eastAsiaTheme="minorEastAsia"/>
        </w:rPr>
        <w:t xml:space="preserve"> for the model damping term, see Refs. [2, 8]. Note different values of </w:t>
      </w:r>
      <w:r>
        <w:rPr/>
      </w:r>
      <m:oMath xmlns:m="http://schemas.openxmlformats.org/officeDocument/2006/math">
        <m:r>
          <w:rPr>
            <w:rFonts w:ascii="Cambria Math" w:hAnsi="Cambria Math"/>
          </w:rPr>
          <m:t xml:space="preserve">α</m:t>
        </m:r>
      </m:oMath>
      <w:r>
        <w:rPr>
          <w:rFonts w:eastAsia="" w:eastAsiaTheme="minorEastAsia"/>
        </w:rPr>
        <w:t xml:space="preserve"> for gravity and magnetic problems, due to different scale of physical units. When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oMath>
      <w:r>
        <w:rPr>
          <w:rFonts w:eastAsia="" w:eastAsiaTheme="minorEastAsia"/>
        </w:rPr>
        <w:t xml:space="preserve"> the model damping is not active, even though the depth weighting is always active, via the sensitivity matrix preconditioning by </w:t>
      </w:r>
      <w:r>
        <w:rPr/>
      </w:r>
      <m:oMath xmlns:m="http://schemas.openxmlformats.org/officeDocument/2006/math">
        <m:sSup>
          <m:e>
            <m:r>
              <w:rPr>
                <w:rFonts w:ascii="Cambria Math" w:hAnsi="Cambria Math"/>
              </w:rPr>
              <m:t xml:space="preserve">W</m:t>
            </m:r>
          </m:e>
          <m:sup>
            <m:r>
              <w:rPr>
                <w:rFonts w:ascii="Cambria Math" w:hAnsi="Cambria Math"/>
              </w:rPr>
              <m:t xml:space="preserve">−</m:t>
            </m:r>
            <m:r>
              <w:rPr>
                <w:rFonts w:ascii="Cambria Math" w:hAnsi="Cambria Math"/>
              </w:rPr>
              <m:t xml:space="preserve">1</m:t>
            </m:r>
          </m:sup>
        </m:sSup>
      </m:oMath>
      <w:r>
        <w:rPr>
          <w:rFonts w:eastAsia="" w:eastAsiaTheme="minorEastAsia"/>
        </w:rPr>
        <w:t>.</w:t>
      </w:r>
    </w:p>
    <w:p>
      <w:pPr>
        <w:pStyle w:val="Heading2"/>
        <w:numPr>
          <w:ilvl w:val="1"/>
          <w:numId w:val="6"/>
        </w:numPr>
        <w:rPr>
          <w:highlight w:val="white"/>
        </w:rPr>
      </w:pPr>
      <w:bookmarkStart w:id="14" w:name="_Toc112344868"/>
      <w:r>
        <w:rPr>
          <w:shd w:fill="FFFFFF" w:val="clear"/>
        </w:rPr>
        <w:t>Joint inversion (</w:t>
      </w:r>
      <w:r>
        <w:rPr>
          <w:rFonts w:ascii="Consolas" w:hAnsi="Consolas"/>
          <w:color w:val="002060"/>
          <w:sz w:val="22"/>
          <w:szCs w:val="18"/>
          <w:shd w:fill="FFFFFF" w:val="clear"/>
        </w:rPr>
        <w:t>inversion.joint</w:t>
      </w:r>
      <w:r>
        <w:rPr>
          <w:shd w:fill="FFFFFF" w:val="clear"/>
        </w:rPr>
        <w:t>)</w:t>
      </w:r>
      <w:bookmarkEnd w:id="14"/>
    </w:p>
    <w:p>
      <w:pPr>
        <w:pStyle w:val="Normal"/>
        <w:rPr/>
      </w:pPr>
      <w:r>
        <w:rPr>
          <w:shd w:fill="FFFFFF" w:val="clear"/>
        </w:rPr>
        <w:t xml:space="preserve">This section contains weights used to balance the gravity and magnetic inversions in joint inversion (e.g., when using cross-gradient or clustering constraints). The </w:t>
      </w:r>
      <w:r>
        <w:rPr>
          <w:b/>
          <w:bCs/>
          <w:shd w:fill="FFFFFF" w:val="clear"/>
        </w:rPr>
        <w:t>problemWeight</w:t>
      </w:r>
      <w:r>
        <w:rPr>
          <w:shd w:fill="FFFFFF" w:val="clear"/>
        </w:rPr>
        <w:t xml:space="preserve"> is applied to the respective data misfit and model damping terms. The </w:t>
      </w:r>
      <w:r>
        <w:rPr>
          <w:b/>
          <w:bCs/>
          <w:shd w:fill="FFFFFF" w:val="clear"/>
        </w:rPr>
        <w:t>columnWeightMultiplier</w:t>
      </w:r>
      <w:r>
        <w:rPr>
          <w:shd w:fill="FFFFFF" w:val="clear"/>
        </w:rPr>
        <w:t xml:space="preserve"> is applied to the columns of the least-squares matrix, effectively performing linear model mapping.</w:t>
      </w:r>
    </w:p>
    <w:p>
      <w:pPr>
        <w:pStyle w:val="Heading2"/>
        <w:numPr>
          <w:ilvl w:val="1"/>
          <w:numId w:val="6"/>
        </w:numPr>
        <w:rPr>
          <w:highlight w:val="white"/>
        </w:rPr>
      </w:pPr>
      <w:bookmarkStart w:id="15" w:name="_Toc112344869"/>
      <w:r>
        <w:rPr>
          <w:shd w:fill="FFFFFF" w:val="clear"/>
        </w:rPr>
        <w:t>Disjoint interval bound constraints (</w:t>
      </w:r>
      <w:r>
        <w:rPr>
          <w:rFonts w:ascii="Consolas" w:hAnsi="Consolas"/>
          <w:color w:val="002060"/>
          <w:sz w:val="22"/>
          <w:szCs w:val="18"/>
          <w:shd w:fill="FFFFFF" w:val="clear"/>
        </w:rPr>
        <w:t>inversion.admm</w:t>
      </w:r>
      <w:r>
        <w:rPr>
          <w:shd w:fill="FFFFFF" w:val="clear"/>
        </w:rPr>
        <w:t>)</w:t>
      </w:r>
      <w:bookmarkEnd w:id="15"/>
    </w:p>
    <w:p>
      <w:pPr>
        <w:pStyle w:val="Normal"/>
        <w:rPr>
          <w:highlight w:val="white"/>
        </w:rPr>
      </w:pPr>
      <w:r>
        <w:rPr>
          <w:shd w:fill="FFFFFF" w:val="clear"/>
        </w:rPr>
        <w:t xml:space="preserve">This section defines parameters for the disjoint interval bound constraints (ADMM). To enable these constraints, set the </w:t>
      </w:r>
      <w:r>
        <w:rPr>
          <w:b/>
          <w:bCs/>
          <w:shd w:fill="FFFFFF" w:val="clear"/>
        </w:rPr>
        <w:t>enableADMM</w:t>
      </w:r>
      <w:r>
        <w:rPr>
          <w:shd w:fill="FFFFFF" w:val="clear"/>
        </w:rPr>
        <w:t xml:space="preserve"> flag to 1. Local bounds for each cell and lithology are specified in the bound file (</w:t>
      </w:r>
      <w:r>
        <w:rPr>
          <w:b/>
          <w:bCs/>
          <w:shd w:fill="FFFFFF" w:val="clear"/>
        </w:rPr>
        <w:t>boundsFile</w:t>
      </w:r>
      <w:r>
        <w:rPr>
          <w:shd w:fill="FFFFFF" w:val="clear"/>
        </w:rPr>
        <w:t xml:space="preserve">), while global bounds (same for all cells) can be defined directly in the Parfile via the </w:t>
      </w:r>
      <w:r>
        <w:rPr>
          <w:b/>
          <w:bCs/>
          <w:shd w:fill="FFFFFF" w:val="clear"/>
        </w:rPr>
        <w:t>bounds</w:t>
      </w:r>
      <w:r>
        <w:rPr>
          <w:shd w:fill="FFFFFF" w:val="clear"/>
        </w:rPr>
        <w:t xml:space="preserve"> parameter. For a description of the bound file format, see Section 5.4. The bound constraint terms are added to the misfit function with a corresponding global ADMM weight (</w:t>
      </w:r>
      <w:r>
        <w:rPr>
          <w:b/>
          <w:bCs/>
          <w:shd w:fill="FFFFFF" w:val="clear"/>
        </w:rPr>
        <w:t>weight</w:t>
      </w:r>
      <w:r>
        <w:rPr>
          <w:shd w:fill="FFFFFF" w:val="clear"/>
        </w:rPr>
        <w:t>).</w:t>
      </w:r>
    </w:p>
    <w:p>
      <w:pPr>
        <w:pStyle w:val="Normal"/>
        <w:rPr>
          <w:highlight w:val="white"/>
        </w:rPr>
      </w:pPr>
      <w:r>
        <w:rPr>
          <w:shd w:fill="FFFFFF" w:val="clear"/>
        </w:rPr>
        <w:t xml:space="preserve">The ADMM weight should be adjusted to suit the specific problem for optimal results. Alternatively, the code can dynamically adjust the ADMM weight by specifying the </w:t>
      </w:r>
      <w:r>
        <w:rPr>
          <w:b/>
          <w:bCs/>
          <w:shd w:fill="FFFFFF" w:val="clear"/>
        </w:rPr>
        <w:t>dataCostThreshold</w:t>
      </w:r>
      <w:r>
        <w:rPr>
          <w:shd w:fill="FFFFFF" w:val="clear"/>
        </w:rPr>
        <w:t xml:space="preserve"> and </w:t>
      </w:r>
      <w:r>
        <w:rPr>
          <w:b/>
          <w:bCs/>
          <w:shd w:fill="FFFFFF" w:val="clear"/>
        </w:rPr>
        <w:t>weightMultiplier</w:t>
      </w:r>
      <w:r>
        <w:rPr>
          <w:shd w:fill="FFFFFF" w:val="clear"/>
        </w:rPr>
        <w:t xml:space="preserve"> parameters. In this case, the weight is multiplied by the specified multiplier when the relative data cost falls below the given threshold. For example, dynamic ADMM constraints are used to apply positivity constraints in the inversion of magnetic data in the "</w:t>
      </w:r>
      <w:r>
        <w:rPr>
          <w:i/>
          <w:iCs/>
          <w:shd w:fill="FFFFFF" w:val="clear"/>
        </w:rPr>
        <w:t>parfiles/Parfile_magbubble_slice.txt</w:t>
      </w:r>
      <w:r>
        <w:rPr>
          <w:shd w:fill="FFFFFF" w:val="clear"/>
        </w:rPr>
        <w:t>".</w:t>
      </w:r>
    </w:p>
    <w:p>
      <w:pPr>
        <w:pStyle w:val="Normal"/>
        <w:rPr/>
      </w:pPr>
      <w:r>
        <w:rPr>
          <w:shd w:fill="FFFFFF" w:val="clear"/>
        </w:rPr>
        <w:t>When bound constraints are enabled, the number of major iterations should be around 20-100 to allow the model parameters to move within the specified bounds. Convergence progress can be monitored by checking the ADMM cost in the log and the costs file. For more details on disjoint interval bound constraints, refer to Ref. [3].</w:t>
      </w:r>
    </w:p>
    <w:p>
      <w:pPr>
        <w:pStyle w:val="Heading2"/>
        <w:numPr>
          <w:ilvl w:val="1"/>
          <w:numId w:val="6"/>
        </w:numPr>
        <w:rPr>
          <w:highlight w:val="white"/>
        </w:rPr>
      </w:pPr>
      <w:bookmarkStart w:id="16" w:name="_Toc112344870"/>
      <w:r>
        <w:rPr>
          <w:shd w:fill="FFFFFF" w:val="clear"/>
        </w:rPr>
        <w:t>Damping-gradient constraints (</w:t>
      </w:r>
      <w:r>
        <w:rPr>
          <w:rFonts w:ascii="Consolas" w:hAnsi="Consolas"/>
          <w:color w:val="002060"/>
          <w:sz w:val="22"/>
          <w:szCs w:val="18"/>
          <w:shd w:fill="FFFFFF" w:val="clear"/>
        </w:rPr>
        <w:t>inversion.dampingGradient</w:t>
      </w:r>
      <w:r>
        <w:rPr>
          <w:shd w:fill="FFFFFF" w:val="clear"/>
        </w:rPr>
        <w:t>)</w:t>
      </w:r>
      <w:bookmarkEnd w:id="16"/>
    </w:p>
    <w:p>
      <w:pPr>
        <w:pStyle w:val="Normal"/>
        <w:rPr/>
      </w:pPr>
      <w:r>
        <w:rPr>
          <w:shd w:fill="FFFFFF" w:val="clear"/>
        </w:rPr>
        <w:t xml:space="preserve">This section contains parameters for setting damping-gradient constraints. These constraints can be either a standard model gradient term (when </w:t>
      </w:r>
      <w:r>
        <w:rPr>
          <w:b/>
          <w:bCs/>
          <w:shd w:fill="FFFFFF" w:val="clear"/>
        </w:rPr>
        <w:t>weightType</w:t>
      </w:r>
      <w:r>
        <w:rPr>
          <w:shd w:fill="FFFFFF" w:val="clear"/>
        </w:rPr>
        <w:t xml:space="preserve">=1) or a 'smart' gradient (when </w:t>
      </w:r>
      <w:r>
        <w:rPr>
          <w:b/>
          <w:bCs/>
          <w:shd w:fill="FFFFFF" w:val="clear"/>
        </w:rPr>
        <w:t>weightType</w:t>
      </w:r>
      <w:r>
        <w:rPr>
          <w:shd w:fill="FFFFFF" w:val="clear"/>
        </w:rPr>
        <w:t>=2), where the model gradient is preconditioned with local weights. These local weights can be based on the second model. For more details on 'smart' gradient constraints, see Refs. [4-5].</w:t>
      </w:r>
    </w:p>
    <w:p>
      <w:pPr>
        <w:pStyle w:val="Heading2"/>
        <w:numPr>
          <w:ilvl w:val="1"/>
          <w:numId w:val="6"/>
        </w:numPr>
        <w:rPr>
          <w:highlight w:val="white"/>
        </w:rPr>
      </w:pPr>
      <w:bookmarkStart w:id="17" w:name="_Toc112344871"/>
      <w:r>
        <w:rPr>
          <w:shd w:fill="FFFFFF" w:val="clear"/>
        </w:rPr>
        <w:t>Cross-gradient constraints (</w:t>
      </w:r>
      <w:r>
        <w:rPr>
          <w:rFonts w:ascii="Consolas" w:hAnsi="Consolas"/>
          <w:color w:val="002060"/>
          <w:sz w:val="22"/>
          <w:szCs w:val="18"/>
          <w:shd w:fill="FFFFFF" w:val="clear"/>
        </w:rPr>
        <w:t>inversion.crossGradient</w:t>
      </w:r>
      <w:r>
        <w:rPr>
          <w:shd w:fill="FFFFFF" w:val="clear"/>
        </w:rPr>
        <w:t>)</w:t>
      </w:r>
      <w:bookmarkEnd w:id="17"/>
    </w:p>
    <w:p>
      <w:pPr>
        <w:pStyle w:val="Normal"/>
        <w:rPr/>
      </w:pPr>
      <w:r>
        <w:rPr>
          <w:shd w:fill="FFFFFF" w:val="clear"/>
        </w:rPr>
        <w:t>This section contains parameters for setting up cross-gradient constraints for joint inversion. The constraints are enabled when the weight parameter is greater than zero. For more details on cross-gradient constraints, see Ref. [6].</w:t>
      </w:r>
    </w:p>
    <w:p>
      <w:pPr>
        <w:pStyle w:val="Heading2"/>
        <w:numPr>
          <w:ilvl w:val="1"/>
          <w:numId w:val="6"/>
        </w:numPr>
        <w:rPr>
          <w:highlight w:val="white"/>
        </w:rPr>
      </w:pPr>
      <w:bookmarkStart w:id="18" w:name="_Toc112344872"/>
      <w:r>
        <w:rPr>
          <w:shd w:fill="FFFFFF" w:val="clear"/>
        </w:rPr>
        <w:t>Clustering constraints (</w:t>
      </w:r>
      <w:r>
        <w:rPr>
          <w:rFonts w:ascii="Consolas" w:hAnsi="Consolas"/>
          <w:color w:val="002060"/>
          <w:sz w:val="22"/>
          <w:szCs w:val="18"/>
          <w:shd w:fill="FFFFFF" w:val="clear"/>
        </w:rPr>
        <w:t>inversion.clustering</w:t>
      </w:r>
      <w:r>
        <w:rPr>
          <w:shd w:fill="FFFFFF" w:val="clear"/>
        </w:rPr>
        <w:t>)</w:t>
      </w:r>
      <w:bookmarkEnd w:id="18"/>
    </w:p>
    <w:p>
      <w:pPr>
        <w:pStyle w:val="Normal"/>
        <w:rPr/>
      </w:pPr>
      <w:r>
        <w:rPr/>
        <w:t xml:space="preserve">This section contains parameters for setting up clustering constraints, which can be used in both single and joint inversions. The constraints are enabled when the respective </w:t>
      </w:r>
      <w:r>
        <w:rPr>
          <w:b/>
          <w:bCs/>
        </w:rPr>
        <w:t>weight</w:t>
      </w:r>
      <w:r>
        <w:rPr/>
        <w:t xml:space="preserve"> parameter is greater than zero. For details on the file formats for the mixture file (</w:t>
      </w:r>
      <w:r>
        <w:rPr>
          <w:b/>
          <w:bCs/>
        </w:rPr>
        <w:t>mixtureFile</w:t>
      </w:r>
      <w:r>
        <w:rPr/>
        <w:t>) and the cell weights file (</w:t>
      </w:r>
      <w:r>
        <w:rPr>
          <w:b/>
          <w:bCs/>
        </w:rPr>
        <w:t>cellWeightsFile</w:t>
      </w:r>
      <w:r>
        <w:rPr/>
        <w:t>), refer to Section 5.5. For more information on clustering constraints, see Ref. [7].</w:t>
      </w:r>
      <w:r>
        <w:br w:type="page"/>
      </w:r>
    </w:p>
    <w:p>
      <w:pPr>
        <w:pStyle w:val="Heading1"/>
        <w:numPr>
          <w:ilvl w:val="0"/>
          <w:numId w:val="6"/>
        </w:numPr>
        <w:spacing w:before="240" w:after="360"/>
        <w:ind w:left="431" w:hanging="431"/>
        <w:rPr/>
      </w:pPr>
      <w:bookmarkStart w:id="19" w:name="_Toc112344873"/>
      <w:r>
        <w:rPr/>
        <w:t>Description of input data formats</w:t>
      </w:r>
      <w:bookmarkEnd w:id="19"/>
    </w:p>
    <w:p>
      <w:pPr>
        <w:pStyle w:val="Normal"/>
        <w:rPr>
          <w:szCs w:val="24"/>
        </w:rPr>
      </w:pPr>
      <w:r>
        <w:rPr>
          <w:szCs w:val="24"/>
        </w:rPr>
        <w:t>Tomofast-x requires several input data files to specify the following:</w:t>
      </w:r>
    </w:p>
    <w:p>
      <w:pPr>
        <w:pStyle w:val="Normal"/>
        <w:numPr>
          <w:ilvl w:val="0"/>
          <w:numId w:val="8"/>
        </w:numPr>
        <w:rPr>
          <w:szCs w:val="24"/>
        </w:rPr>
      </w:pPr>
      <w:r>
        <w:rPr>
          <w:szCs w:val="24"/>
        </w:rPr>
        <w:t>Observed data values and positions (data grid)</w:t>
      </w:r>
    </w:p>
    <w:p>
      <w:pPr>
        <w:pStyle w:val="Normal"/>
        <w:numPr>
          <w:ilvl w:val="0"/>
          <w:numId w:val="8"/>
        </w:numPr>
        <w:rPr>
          <w:szCs w:val="24"/>
        </w:rPr>
      </w:pPr>
      <w:r>
        <w:rPr>
          <w:szCs w:val="24"/>
        </w:rPr>
        <w:t>Model grid (cells)</w:t>
      </w:r>
    </w:p>
    <w:p>
      <w:pPr>
        <w:pStyle w:val="Normal"/>
        <w:numPr>
          <w:ilvl w:val="0"/>
          <w:numId w:val="8"/>
        </w:numPr>
        <w:rPr>
          <w:szCs w:val="24"/>
        </w:rPr>
      </w:pPr>
      <w:r>
        <w:rPr>
          <w:szCs w:val="24"/>
        </w:rPr>
        <w:t>Prior and starting models (optional)</w:t>
      </w:r>
    </w:p>
    <w:p>
      <w:pPr>
        <w:pStyle w:val="Normal"/>
        <w:numPr>
          <w:ilvl w:val="0"/>
          <w:numId w:val="8"/>
        </w:numPr>
        <w:rPr>
          <w:szCs w:val="24"/>
        </w:rPr>
      </w:pPr>
      <w:r>
        <w:rPr>
          <w:szCs w:val="24"/>
        </w:rPr>
        <w:t>Various constraints (optional)</w:t>
      </w:r>
    </w:p>
    <w:p>
      <w:pPr>
        <w:pStyle w:val="Normal"/>
        <w:rPr>
          <w:szCs w:val="24"/>
        </w:rPr>
      </w:pPr>
      <w:r>
        <w:rPr>
          <w:szCs w:val="24"/>
        </w:rPr>
        <w:t xml:space="preserve">All input files are in ASCII (text) format, with 3D coordinates provided in a Cartesian coordinate system. By default, the Z-axis points downwards, meaning Z-values below the ground are positive, and Z-values above the ground are negative. All physical units used in the code are SI units, unless explicitly stated otherwise. Note that the direction of the Z-axis can be flipped using the </w:t>
      </w:r>
      <w:r>
        <w:rPr>
          <w:b/>
          <w:bCs/>
          <w:szCs w:val="24"/>
        </w:rPr>
        <w:t>zAxisDirection</w:t>
      </w:r>
      <w:r>
        <w:rPr>
          <w:szCs w:val="24"/>
        </w:rPr>
        <w:t xml:space="preserve"> parameter. Additionally, the model and data units can be adjusted using the </w:t>
      </w:r>
      <w:r>
        <w:rPr>
          <w:b/>
          <w:bCs/>
          <w:szCs w:val="24"/>
        </w:rPr>
        <w:t>dataUnitsMultiplier</w:t>
      </w:r>
      <w:r>
        <w:rPr>
          <w:szCs w:val="24"/>
        </w:rPr>
        <w:t xml:space="preserve"> and </w:t>
      </w:r>
      <w:r>
        <w:rPr>
          <w:b/>
          <w:bCs/>
          <w:szCs w:val="24"/>
        </w:rPr>
        <w:t>modelUnitsMultiplier</w:t>
      </w:r>
      <w:r>
        <w:rPr>
          <w:szCs w:val="24"/>
        </w:rPr>
        <w:t xml:space="preserve"> parameters.</w:t>
      </w:r>
    </w:p>
    <w:p>
      <w:pPr>
        <w:pStyle w:val="Normal"/>
        <w:spacing w:before="0" w:after="240"/>
        <w:rPr>
          <w:b/>
          <w:b/>
          <w:szCs w:val="24"/>
        </w:rPr>
      </w:pPr>
      <w:r>
        <w:rPr>
          <w:szCs w:val="24"/>
        </w:rPr>
        <w:t xml:space="preserve">Examples of input data files are available in the </w:t>
      </w:r>
      <w:r>
        <w:rPr>
          <w:i/>
          <w:iCs/>
          <w:szCs w:val="24"/>
        </w:rPr>
        <w:t>data/gravmag</w:t>
      </w:r>
      <w:r>
        <w:rPr>
          <w:szCs w:val="24"/>
        </w:rPr>
        <w:t xml:space="preserve"> folder. A detailed description of the different types of input data is provided below.</w:t>
      </w:r>
    </w:p>
    <w:p>
      <w:pPr>
        <w:pStyle w:val="Heading2"/>
        <w:numPr>
          <w:ilvl w:val="1"/>
          <w:numId w:val="6"/>
        </w:numPr>
        <w:rPr/>
      </w:pPr>
      <w:bookmarkStart w:id="20" w:name="_Toc112344874"/>
      <w:r>
        <w:rPr/>
        <w:t>Data file format</w:t>
      </w:r>
      <w:bookmarkEnd w:id="20"/>
    </w:p>
    <w:p>
      <w:pPr>
        <w:pStyle w:val="Normal"/>
        <w:rPr>
          <w:szCs w:val="24"/>
        </w:rPr>
      </w:pPr>
      <w:r>
        <w:rPr>
          <w:szCs w:val="24"/>
        </w:rPr>
        <w:t xml:space="preserve">The data grid and data values files share the same format for simplicity. The paths to these data files are specified in the Parfile sections </w:t>
      </w:r>
      <w:r>
        <w:rPr>
          <w:b/>
          <w:bCs/>
          <w:szCs w:val="24"/>
        </w:rPr>
        <w:t>forward.data.grav</w:t>
      </w:r>
      <w:r>
        <w:rPr>
          <w:szCs w:val="24"/>
        </w:rPr>
        <w:t xml:space="preserve"> and </w:t>
      </w:r>
      <w:r>
        <w:rPr>
          <w:b/>
          <w:bCs/>
          <w:szCs w:val="24"/>
        </w:rPr>
        <w:t>forward.data.magn</w:t>
      </w:r>
      <w:r>
        <w:rPr>
          <w:szCs w:val="24"/>
        </w:rPr>
        <w:t xml:space="preserve"> for gravity and magnetic problems, respectively. For more details, refer to the file </w:t>
      </w:r>
      <w:r>
        <w:rPr>
          <w:i/>
          <w:iCs/>
          <w:szCs w:val="24"/>
        </w:rPr>
        <w:t>Parameters_all.txt</w:t>
      </w:r>
      <w:r>
        <w:rPr>
          <w:szCs w:val="24"/>
        </w:rPr>
        <w:t>.</w:t>
      </w:r>
    </w:p>
    <w:p>
      <w:pPr>
        <w:pStyle w:val="Normal"/>
        <w:rPr>
          <w:szCs w:val="24"/>
        </w:rPr>
      </w:pPr>
      <w:r>
        <w:rPr>
          <w:szCs w:val="24"/>
        </w:rPr>
        <w:t>The first line contains the number of data values, followed by lines that include the 3D data positions (x, y, z) and the corresponding data value, all separated by spaces, as shown below:</w:t>
      </w:r>
    </w:p>
    <w:p>
      <w:pPr>
        <w:pStyle w:val="Normal"/>
        <w:jc w:val="left"/>
        <w:rPr>
          <w:szCs w:val="24"/>
          <w:highlight w:val="lightGray"/>
        </w:rPr>
      </w:pPr>
      <w:r>
        <w:rPr/>
      </w:r>
      <m:oMath xmlns:m="http://schemas.openxmlformats.org/officeDocument/2006/math">
        <m:r>
          <w:rPr>
            <w:rFonts w:ascii="Cambria Math" w:hAnsi="Cambria Math"/>
          </w:rPr>
          <m:t xml:space="preserve">N</m:t>
        </m:r>
      </m:oMath>
    </w:p>
    <w:p>
      <w:pPr>
        <w:pStyle w:val="Normal"/>
        <w:jc w:val="left"/>
        <w:rPr/>
      </w:pPr>
      <w:r>
        <w:rPr>
          <w:rFonts w:eastAsia="" w:eastAsiaTheme="minorEastAsia"/>
          <w:szCs w:val="24"/>
          <w:highlight w:val="lightGray"/>
        </w:rPr>
        <w:t xml:space="preserve"> </w:t>
      </w:r>
      <w:r>
        <w:rPr/>
      </w:r>
      <m:oMath xmlns:m="http://schemas.openxmlformats.org/officeDocument/2006/math">
        <m:sSubSup>
          <m:e>
            <m:r>
              <w:rPr>
                <w:rFonts w:ascii="Cambria Math" w:hAnsi="Cambria Math"/>
              </w:rPr>
              <m:t xml:space="preserve">p</m:t>
            </m:r>
          </m:e>
          <m:sub>
            <m:r>
              <w:rPr>
                <w:rFonts w:ascii="Cambria Math" w:hAnsi="Cambria Math"/>
              </w:rPr>
              <m:t xml:space="preserve">x</m:t>
            </m:r>
          </m:sub>
          <m:sup>
            <m:r>
              <w:rPr>
                <w:rFonts w:ascii="Cambria Math" w:hAnsi="Cambria Math"/>
              </w:rPr>
              <m:t xml:space="preserve">1</m:t>
            </m:r>
          </m:sup>
        </m:sSubSup>
        <m:sSubSup>
          <m:e>
            <m:r>
              <w:rPr>
                <w:rFonts w:ascii="Cambria Math" w:hAnsi="Cambria Math"/>
              </w:rPr>
              <m:t xml:space="preserve">p</m:t>
            </m:r>
          </m:e>
          <m:sub>
            <m:r>
              <w:rPr>
                <w:rFonts w:ascii="Cambria Math" w:hAnsi="Cambria Math"/>
              </w:rPr>
              <m:t xml:space="preserve">y</m:t>
            </m:r>
          </m:sub>
          <m:sup>
            <m:r>
              <w:rPr>
                <w:rFonts w:ascii="Cambria Math" w:hAnsi="Cambria Math"/>
              </w:rPr>
              <m:t xml:space="preserve">1</m:t>
            </m:r>
          </m:sup>
        </m:sSubSup>
        <m:sSubSup>
          <m:e>
            <m:r>
              <w:rPr>
                <w:rFonts w:ascii="Cambria Math" w:hAnsi="Cambria Math"/>
              </w:rPr>
              <m:t xml:space="preserve">p</m:t>
            </m:r>
          </m:e>
          <m:sub>
            <m:r>
              <w:rPr>
                <w:rFonts w:ascii="Cambria Math" w:hAnsi="Cambria Math"/>
              </w:rPr>
              <m:t xml:space="preserve">z</m:t>
            </m:r>
          </m:sub>
          <m:sup>
            <m:r>
              <w:rPr>
                <w:rFonts w:ascii="Cambria Math" w:hAnsi="Cambria Math"/>
              </w:rPr>
              <m:t xml:space="preserve">1</m:t>
            </m:r>
          </m:sup>
        </m:sSubSup>
        <m:sSup>
          <m:e>
            <m:r>
              <w:rPr>
                <w:rFonts w:ascii="Cambria Math" w:hAnsi="Cambria Math"/>
              </w:rPr>
              <m:t xml:space="preserve">d</m:t>
            </m:r>
          </m:e>
          <m:sup>
            <m:r>
              <w:rPr>
                <w:rFonts w:ascii="Cambria Math" w:hAnsi="Cambria Math"/>
              </w:rPr>
              <m:t xml:space="preserve">1</m:t>
            </m:r>
          </m:sup>
        </m:sSup>
      </m:oMath>
    </w:p>
    <w:p>
      <w:pPr>
        <w:pStyle w:val="Normal"/>
        <w:jc w:val="left"/>
        <w:rPr/>
      </w:pPr>
      <w:r>
        <w:rPr>
          <w:szCs w:val="24"/>
          <w:highlight w:val="lightGray"/>
        </w:rPr>
        <w:t>…</w:t>
      </w:r>
    </w:p>
    <w:p>
      <w:pPr>
        <w:pStyle w:val="Normal"/>
        <w:spacing w:before="0" w:after="240"/>
        <w:jc w:val="left"/>
        <w:rPr/>
      </w:pPr>
      <w:r>
        <w:rPr/>
      </w:r>
      <m:oMath xmlns:m="http://schemas.openxmlformats.org/officeDocument/2006/math">
        <m:sSubSup>
          <m:e>
            <m:r>
              <w:rPr>
                <w:rFonts w:ascii="Cambria Math" w:hAnsi="Cambria Math"/>
              </w:rPr>
              <m:t xml:space="preserve">p</m:t>
            </m:r>
          </m:e>
          <m:sub>
            <m:r>
              <w:rPr>
                <w:rFonts w:ascii="Cambria Math" w:hAnsi="Cambria Math"/>
              </w:rPr>
              <m:t xml:space="preserve">x</m:t>
            </m:r>
          </m:sub>
          <m:sup>
            <m:r>
              <w:rPr>
                <w:rFonts w:ascii="Cambria Math" w:hAnsi="Cambria Math"/>
              </w:rPr>
              <m:t xml:space="preserve">N</m:t>
            </m:r>
          </m:sup>
        </m:sSubSup>
        <m:sSubSup>
          <m:e>
            <m:r>
              <w:rPr>
                <w:rFonts w:ascii="Cambria Math" w:hAnsi="Cambria Math"/>
              </w:rPr>
              <m:t xml:space="preserve">p</m:t>
            </m:r>
          </m:e>
          <m:sub>
            <m:r>
              <w:rPr>
                <w:rFonts w:ascii="Cambria Math" w:hAnsi="Cambria Math"/>
              </w:rPr>
              <m:t xml:space="preserve">y</m:t>
            </m:r>
          </m:sub>
          <m:sup>
            <m:r>
              <w:rPr>
                <w:rFonts w:ascii="Cambria Math" w:hAnsi="Cambria Math"/>
              </w:rPr>
              <m:t xml:space="preserve">N</m:t>
            </m:r>
          </m:sup>
        </m:sSubSup>
        <m:sSubSup>
          <m:e>
            <m:r>
              <w:rPr>
                <w:rFonts w:ascii="Cambria Math" w:hAnsi="Cambria Math"/>
              </w:rPr>
              <m:t xml:space="preserve">p</m:t>
            </m:r>
          </m:e>
          <m:sub>
            <m:r>
              <w:rPr>
                <w:rFonts w:ascii="Cambria Math" w:hAnsi="Cambria Math"/>
              </w:rPr>
              <m:t xml:space="preserve">z</m:t>
            </m:r>
          </m:sub>
          <m:sup>
            <m:r>
              <w:rPr>
                <w:rFonts w:ascii="Cambria Math" w:hAnsi="Cambria Math"/>
              </w:rPr>
              <m:t xml:space="preserve">N</m:t>
            </m:r>
          </m:sup>
        </m:sSubSup>
        <m:sSup>
          <m:e>
            <m:r>
              <w:rPr>
                <w:rFonts w:ascii="Cambria Math" w:hAnsi="Cambria Math"/>
              </w:rPr>
              <m:t xml:space="preserve">d</m:t>
            </m:r>
          </m:e>
          <m:sup>
            <m:r>
              <w:rPr>
                <w:rFonts w:ascii="Cambria Math" w:hAnsi="Cambria Math"/>
              </w:rPr>
              <m:t xml:space="preserve">N</m:t>
            </m:r>
          </m:sup>
        </m:sSup>
      </m:oMath>
      <w:r>
        <w:rPr>
          <w:rFonts w:eastAsia="" w:eastAsiaTheme="minorEastAsia"/>
          <w:szCs w:val="24"/>
          <w:highlight w:val="lightGray"/>
        </w:rPr>
        <w:t xml:space="preserve"> </w:t>
      </w:r>
    </w:p>
    <w:p>
      <w:pPr>
        <w:pStyle w:val="Normal"/>
        <w:rPr>
          <w:rFonts w:eastAsia="" w:eastAsiaTheme="minorEastAsia"/>
          <w:szCs w:val="24"/>
        </w:rPr>
      </w:pPr>
      <w:r>
        <w:rPr>
          <w:szCs w:val="24"/>
        </w:rPr>
        <w:t xml:space="preserve">Here </w:t>
      </w:r>
      <w:r>
        <w:rPr/>
      </w:r>
      <m:oMath xmlns:m="http://schemas.openxmlformats.org/officeDocument/2006/math">
        <m:r>
          <w:rPr>
            <w:rFonts w:ascii="Cambria Math" w:hAnsi="Cambria Math"/>
          </w:rPr>
          <m:t xml:space="preserve">N</m:t>
        </m:r>
      </m:oMath>
      <w:r>
        <w:rPr>
          <w:szCs w:val="24"/>
        </w:rPr>
        <w:t xml:space="preserve"> is the number of data values,</w:t>
      </w:r>
      <w:r>
        <w:rPr>
          <w:rFonts w:eastAsia="" w:eastAsiaTheme="minorEastAsia"/>
          <w:szCs w:val="24"/>
        </w:rPr>
        <w:t xml:space="preserve"> </w:t>
      </w:r>
      <w:r>
        <w:rPr/>
      </w:r>
      <m:oMath xmlns:m="http://schemas.openxmlformats.org/officeDocument/2006/math">
        <m:sSubSup>
          <m:e>
            <m:r>
              <w:rPr>
                <w:rFonts w:ascii="Cambria Math" w:hAnsi="Cambria Math"/>
              </w:rPr>
              <m:t xml:space="preserve">p</m:t>
            </m:r>
          </m:e>
          <m:sub>
            <m:r>
              <w:rPr>
                <w:rFonts w:ascii="Cambria Math" w:hAnsi="Cambria Math"/>
              </w:rPr>
              <m:t xml:space="preserve">x</m:t>
            </m:r>
          </m:sub>
          <m:sup>
            <m:r>
              <w:rPr>
                <w:rFonts w:ascii="Cambria Math" w:hAnsi="Cambria Math"/>
              </w:rPr>
              <m:t xml:space="preserve">i</m:t>
            </m:r>
          </m:sup>
        </m:sSubSup>
        <m:sSubSup>
          <m:e>
            <m:r>
              <w:rPr>
                <w:rFonts w:ascii="Cambria Math" w:hAnsi="Cambria Math"/>
              </w:rPr>
              <m:t xml:space="preserve">p</m:t>
            </m:r>
          </m:e>
          <m:sub>
            <m:r>
              <w:rPr>
                <w:rFonts w:ascii="Cambria Math" w:hAnsi="Cambria Math"/>
              </w:rPr>
              <m:t xml:space="preserve">y</m:t>
            </m:r>
          </m:sub>
          <m:sup>
            <m:r>
              <w:rPr>
                <w:rFonts w:ascii="Cambria Math" w:hAnsi="Cambria Math"/>
              </w:rPr>
              <m:t xml:space="preserve">i</m:t>
            </m:r>
          </m:sup>
        </m:sSubSup>
        <m:sSubSup>
          <m:e>
            <m:r>
              <w:rPr>
                <w:rFonts w:ascii="Cambria Math" w:hAnsi="Cambria Math"/>
              </w:rPr>
              <m:t xml:space="preserve">p</m:t>
            </m:r>
          </m:e>
          <m:sub>
            <m:r>
              <w:rPr>
                <w:rFonts w:ascii="Cambria Math" w:hAnsi="Cambria Math"/>
              </w:rPr>
              <m:t xml:space="preserve">z</m:t>
            </m:r>
          </m:sub>
          <m:sup>
            <m:r>
              <w:rPr>
                <w:rFonts w:ascii="Cambria Math" w:hAnsi="Cambria Math"/>
              </w:rPr>
              <m:t xml:space="preserve">i</m:t>
            </m:r>
          </m:sup>
        </m:sSubSup>
      </m:oMath>
      <w:r>
        <w:rPr>
          <w:rFonts w:eastAsia="" w:eastAsiaTheme="minorEastAsia"/>
          <w:szCs w:val="24"/>
        </w:rPr>
        <w:t xml:space="preserve"> is the 3D position of the </w:t>
      </w:r>
      <w:r>
        <w:rPr>
          <w:rFonts w:eastAsia="" w:eastAsiaTheme="minorEastAsia"/>
          <w:i/>
          <w:szCs w:val="24"/>
        </w:rPr>
        <w:t>i</w:t>
      </w:r>
      <w:r>
        <w:rPr>
          <w:rFonts w:eastAsia="" w:eastAsiaTheme="minorEastAsia"/>
          <w:szCs w:val="24"/>
        </w:rPr>
        <w:t xml:space="preserve">-th data, and </w:t>
      </w:r>
      <w:r>
        <w:rPr/>
      </w:r>
      <m:oMath xmlns:m="http://schemas.openxmlformats.org/officeDocument/2006/math">
        <m:sSup>
          <m:e>
            <m:r>
              <w:rPr>
                <w:rFonts w:ascii="Cambria Math" w:hAnsi="Cambria Math"/>
              </w:rPr>
              <m:t xml:space="preserve">d</m:t>
            </m:r>
          </m:e>
          <m:sup>
            <m:r>
              <w:rPr>
                <w:rFonts w:ascii="Cambria Math" w:hAnsi="Cambria Math"/>
              </w:rPr>
              <m:t xml:space="preserve">i</m:t>
            </m:r>
          </m:sup>
        </m:sSup>
      </m:oMath>
      <w:r>
        <w:rPr>
          <w:rFonts w:eastAsia="" w:eastAsiaTheme="minorEastAsia"/>
          <w:szCs w:val="24"/>
        </w:rPr>
        <w:t xml:space="preserve"> is the value of the </w:t>
      </w:r>
      <w:r>
        <w:rPr>
          <w:rFonts w:eastAsia="" w:eastAsiaTheme="minorEastAsia"/>
          <w:i/>
          <w:szCs w:val="24"/>
        </w:rPr>
        <w:t>i</w:t>
      </w:r>
      <w:r>
        <w:rPr>
          <w:rFonts w:eastAsia="" w:eastAsiaTheme="minorEastAsia"/>
          <w:szCs w:val="24"/>
        </w:rPr>
        <w:t>-th data. For multicomponent data (e.g., gravity gradiometry), each data component is specified in a separate column.</w:t>
      </w:r>
    </w:p>
    <w:p>
      <w:pPr>
        <w:pStyle w:val="Normal"/>
        <w:rPr>
          <w:rFonts w:ascii="Consolas" w:hAnsi="Consolas"/>
          <w:color w:val="002060"/>
          <w:szCs w:val="18"/>
          <w:highlight w:val="white"/>
        </w:rPr>
      </w:pPr>
      <w:r>
        <w:rPr>
          <w:rFonts w:eastAsia="" w:eastAsiaTheme="minorEastAsia"/>
          <w:szCs w:val="24"/>
        </w:rPr>
        <w:t>The data value is used in the data values files (</w:t>
      </w:r>
      <w:r>
        <w:rPr>
          <w:rFonts w:eastAsia="" w:eastAsiaTheme="minorEastAsia"/>
          <w:b/>
          <w:bCs/>
          <w:szCs w:val="24"/>
        </w:rPr>
        <w:t>dataValuesFile</w:t>
      </w:r>
      <w:r>
        <w:rPr>
          <w:rFonts w:eastAsia="" w:eastAsiaTheme="minorEastAsia"/>
          <w:szCs w:val="24"/>
        </w:rPr>
        <w:t>) but is ignored in the data grid files (</w:t>
      </w:r>
      <w:r>
        <w:rPr>
          <w:rFonts w:eastAsia="" w:eastAsiaTheme="minorEastAsia"/>
          <w:b/>
          <w:bCs/>
          <w:szCs w:val="24"/>
        </w:rPr>
        <w:t>dataGridFile</w:t>
      </w:r>
      <w:r>
        <w:rPr>
          <w:rFonts w:eastAsia="" w:eastAsiaTheme="minorEastAsia"/>
          <w:szCs w:val="24"/>
        </w:rPr>
        <w:t>).</w:t>
      </w:r>
      <w:r>
        <w:rPr>
          <w:rFonts w:ascii="Consolas" w:hAnsi="Consolas"/>
          <w:color w:val="002060"/>
          <w:szCs w:val="18"/>
          <w:shd w:fill="FFFFFF" w:val="clear"/>
        </w:rPr>
        <w:t xml:space="preserve"> </w:t>
      </w:r>
      <w:r>
        <w:rPr>
          <w:rFonts w:eastAsia="" w:eastAsiaTheme="minorEastAsia"/>
          <w:szCs w:val="24"/>
        </w:rPr>
        <w:t>Separate paths for the data grid and values are provided to enable inversion of forward data generated from the input synthetic model (with model values stored in the model grid file) within the same inversion run, allowing for tests with synthetic models.</w:t>
      </w:r>
    </w:p>
    <w:p>
      <w:pPr>
        <w:pStyle w:val="Heading2"/>
        <w:numPr>
          <w:ilvl w:val="1"/>
          <w:numId w:val="6"/>
        </w:numPr>
        <w:rPr/>
      </w:pPr>
      <w:bookmarkStart w:id="21" w:name="_Toc112344875"/>
      <w:r>
        <w:rPr/>
        <w:t>Model grid file format</w:t>
      </w:r>
      <w:bookmarkEnd w:id="21"/>
    </w:p>
    <w:p>
      <w:pPr>
        <w:pStyle w:val="Normal"/>
        <w:rPr>
          <w:szCs w:val="24"/>
        </w:rPr>
      </w:pPr>
      <w:r>
        <w:rPr>
          <w:szCs w:val="24"/>
        </w:rPr>
        <w:t xml:space="preserve">The paths to model grid files are specified in the Parfile sections </w:t>
      </w:r>
      <w:r>
        <w:rPr>
          <w:b/>
          <w:bCs/>
          <w:szCs w:val="24"/>
        </w:rPr>
        <w:t>modelGrid.grav</w:t>
      </w:r>
      <w:r>
        <w:rPr>
          <w:szCs w:val="24"/>
        </w:rPr>
        <w:t xml:space="preserve"> and </w:t>
      </w:r>
      <w:r>
        <w:rPr>
          <w:b/>
          <w:bCs/>
          <w:szCs w:val="24"/>
        </w:rPr>
        <w:t>modelGrid.magn</w:t>
      </w:r>
      <w:r>
        <w:rPr>
          <w:szCs w:val="24"/>
        </w:rPr>
        <w:t xml:space="preserve"> for gravity and magnetic problems, respectively. For more details, refer to the file </w:t>
      </w:r>
      <w:r>
        <w:rPr>
          <w:i/>
          <w:iCs/>
          <w:szCs w:val="24"/>
        </w:rPr>
        <w:t>Parameters_all.txt</w:t>
      </w:r>
      <w:r>
        <w:rPr>
          <w:szCs w:val="24"/>
        </w:rPr>
        <w:t>.</w:t>
      </w:r>
    </w:p>
    <w:p>
      <w:pPr>
        <w:pStyle w:val="Normal"/>
        <w:rPr>
          <w:szCs w:val="24"/>
        </w:rPr>
      </w:pPr>
      <w:r>
        <w:rPr>
          <w:szCs w:val="24"/>
        </w:rPr>
        <w:t>The model grid consists of a set of non-overlapping rectangular prisms, allowing for the specification of models with various shapes. This format also enables the simulation of surface topography and continent-ocean boundaries.</w:t>
      </w:r>
    </w:p>
    <w:p>
      <w:pPr>
        <w:pStyle w:val="Normal"/>
        <w:rPr>
          <w:szCs w:val="24"/>
        </w:rPr>
      </w:pPr>
      <w:r>
        <w:rPr>
          <w:szCs w:val="24"/>
        </w:rPr>
        <w:t xml:space="preserve">The first line contains the number of model cells. Each subsequent line includes the cell coordinates, model value and 3D cell index, all separated by spaces, as shown below: </w:t>
      </w:r>
    </w:p>
    <w:p>
      <w:pPr>
        <w:pStyle w:val="Normal"/>
        <w:jc w:val="left"/>
        <w:rPr>
          <w:szCs w:val="24"/>
          <w:highlight w:val="lightGray"/>
        </w:rPr>
      </w:pPr>
      <w:r>
        <w:rPr/>
      </w:r>
      <m:oMath xmlns:m="http://schemas.openxmlformats.org/officeDocument/2006/math">
        <m:r>
          <w:rPr>
            <w:rFonts w:ascii="Cambria Math" w:hAnsi="Cambria Math"/>
          </w:rPr>
          <m:t xml:space="preserve">N</m:t>
        </m:r>
      </m:oMath>
    </w:p>
    <w:p>
      <w:pPr>
        <w:pStyle w:val="Normal"/>
        <w:jc w:val="left"/>
        <w:rPr>
          <w:rFonts w:eastAsia="" w:eastAsiaTheme="minorEastAsia"/>
          <w:szCs w:val="24"/>
          <w:highlight w:val="lightGray"/>
        </w:rPr>
      </w:pPr>
      <w:r>
        <w:rPr/>
      </w:r>
      <m:oMath xmlns:m="http://schemas.openxmlformats.org/officeDocument/2006/math">
        <m:sSubSup>
          <m:e>
            <m:r>
              <w:rPr>
                <w:rFonts w:ascii="Cambria Math" w:hAnsi="Cambria Math"/>
              </w:rPr>
              <m:t xml:space="preserve">X</m:t>
            </m:r>
          </m:e>
          <m:sub>
            <m:r>
              <w:rPr>
                <w:rFonts w:ascii="Cambria Math" w:hAnsi="Cambria Math"/>
              </w:rPr>
              <m:t xml:space="preserve">min</m:t>
            </m:r>
          </m:sub>
          <m:sup>
            <m:r>
              <w:rPr>
                <w:rFonts w:ascii="Cambria Math" w:hAnsi="Cambria Math"/>
              </w:rPr>
              <m:t xml:space="preserve">1</m:t>
            </m:r>
          </m:sup>
        </m:sSubSup>
        <m:sSubSup>
          <m:e>
            <m:r>
              <w:rPr>
                <w:rFonts w:ascii="Cambria Math" w:hAnsi="Cambria Math"/>
              </w:rPr>
              <m:t xml:space="preserve">X</m:t>
            </m:r>
          </m:e>
          <m:sub>
            <m:r>
              <w:rPr>
                <w:rFonts w:ascii="Cambria Math" w:hAnsi="Cambria Math"/>
              </w:rPr>
              <m:t xml:space="preserve">max</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min</m:t>
            </m:r>
          </m:sub>
          <m:sup>
            <m:r>
              <w:rPr>
                <w:rFonts w:ascii="Cambria Math" w:hAnsi="Cambria Math"/>
              </w:rPr>
              <m:t xml:space="preserve">1</m:t>
            </m:r>
          </m:sup>
        </m:sSubSup>
        <m:sSubSup>
          <m:e>
            <m:r>
              <w:rPr>
                <w:rFonts w:ascii="Cambria Math" w:hAnsi="Cambria Math"/>
              </w:rPr>
              <m:t xml:space="preserve">Y</m:t>
            </m:r>
          </m:e>
          <m:sub>
            <m:r>
              <w:rPr>
                <w:rFonts w:ascii="Cambria Math" w:hAnsi="Cambria Math"/>
              </w:rPr>
              <m:t xml:space="preserve">max</m:t>
            </m:r>
          </m:sub>
          <m:sup>
            <m:r>
              <w:rPr>
                <w:rFonts w:ascii="Cambria Math" w:hAnsi="Cambria Math"/>
              </w:rPr>
              <m:t xml:space="preserve">1</m:t>
            </m:r>
          </m:sup>
        </m:sSubSup>
        <m:sSubSup>
          <m:e>
            <m:r>
              <w:rPr>
                <w:rFonts w:ascii="Cambria Math" w:hAnsi="Cambria Math"/>
              </w:rPr>
              <m:t xml:space="preserve">Z</m:t>
            </m:r>
          </m:e>
          <m:sub>
            <m:r>
              <w:rPr>
                <w:rFonts w:ascii="Cambria Math" w:hAnsi="Cambria Math"/>
              </w:rPr>
              <m:t xml:space="preserve">min</m:t>
            </m:r>
          </m:sub>
          <m:sup>
            <m:r>
              <w:rPr>
                <w:rFonts w:ascii="Cambria Math" w:hAnsi="Cambria Math"/>
              </w:rPr>
              <m:t xml:space="preserve">1</m:t>
            </m:r>
          </m:sup>
        </m:sSubSup>
        <m:sSubSup>
          <m:e>
            <m:r>
              <w:rPr>
                <w:rFonts w:ascii="Cambria Math" w:hAnsi="Cambria Math"/>
              </w:rPr>
              <m:t xml:space="preserve">Z</m:t>
            </m:r>
          </m:e>
          <m:sub>
            <m:r>
              <w:rPr>
                <w:rFonts w:ascii="Cambria Math" w:hAnsi="Cambria Math"/>
              </w:rPr>
              <m:t xml:space="preserve">max</m:t>
            </m:r>
          </m:sub>
          <m:sup>
            <m:r>
              <w:rPr>
                <w:rFonts w:ascii="Cambria Math" w:hAnsi="Cambria Math"/>
              </w:rPr>
              <m:t xml:space="preserve">1</m:t>
            </m:r>
          </m:sup>
        </m:sSubSup>
        <m:sSup>
          <m:e>
            <m:r>
              <w:rPr>
                <w:rFonts w:ascii="Cambria Math" w:hAnsi="Cambria Math"/>
              </w:rPr>
              <m:t xml:space="preserve">m</m:t>
            </m:r>
          </m:e>
          <m:sup>
            <m:r>
              <w:rPr>
                <w:rFonts w:ascii="Cambria Math" w:hAnsi="Cambria Math"/>
              </w:rPr>
              <m:t xml:space="preserve">1</m:t>
            </m:r>
          </m:sup>
        </m:sSup>
        <m:sSup>
          <m:e>
            <m:r>
              <w:rPr>
                <w:rFonts w:ascii="Cambria Math" w:hAnsi="Cambria Math"/>
              </w:rPr>
              <m:t xml:space="preserve">i</m:t>
            </m:r>
          </m:e>
          <m:sup>
            <m:r>
              <w:rPr>
                <w:rFonts w:ascii="Cambria Math" w:hAnsi="Cambria Math"/>
              </w:rPr>
              <m:t xml:space="preserve">1</m:t>
            </m:r>
          </m:sup>
        </m:sSup>
        <m:sSup>
          <m:e>
            <m:r>
              <w:rPr>
                <w:rFonts w:ascii="Cambria Math" w:hAnsi="Cambria Math"/>
              </w:rPr>
              <m:t xml:space="preserve">j</m:t>
            </m:r>
          </m:e>
          <m:sup>
            <m:r>
              <w:rPr>
                <w:rFonts w:ascii="Cambria Math" w:hAnsi="Cambria Math"/>
              </w:rPr>
              <m:t xml:space="preserve">1</m:t>
            </m:r>
          </m:sup>
        </m:sSup>
        <m:sSup>
          <m:e>
            <m:r>
              <w:rPr>
                <w:rFonts w:ascii="Cambria Math" w:hAnsi="Cambria Math"/>
              </w:rPr>
              <m:t xml:space="preserve">k</m:t>
            </m:r>
          </m:e>
          <m:sup>
            <m:r>
              <w:rPr>
                <w:rFonts w:ascii="Cambria Math" w:hAnsi="Cambria Math"/>
              </w:rPr>
              <m:t xml:space="preserve">1</m:t>
            </m:r>
          </m:sup>
        </m:sSup>
      </m:oMath>
    </w:p>
    <w:p>
      <w:pPr>
        <w:pStyle w:val="Normal"/>
        <w:jc w:val="left"/>
        <w:rPr>
          <w:rFonts w:eastAsia="" w:eastAsiaTheme="minorEastAsia"/>
          <w:szCs w:val="24"/>
          <w:highlight w:val="lightGray"/>
        </w:rPr>
      </w:pPr>
      <w:r>
        <w:rPr>
          <w:rFonts w:eastAsia="" w:eastAsiaTheme="minorEastAsia"/>
          <w:szCs w:val="24"/>
          <w:highlight w:val="lightGray"/>
        </w:rPr>
        <w:t>…</w:t>
      </w:r>
    </w:p>
    <w:p>
      <w:pPr>
        <w:pStyle w:val="Normal"/>
        <w:spacing w:before="0" w:after="240"/>
        <w:jc w:val="left"/>
        <w:rPr>
          <w:rFonts w:eastAsia="" w:eastAsiaTheme="minorEastAsia"/>
          <w:szCs w:val="24"/>
        </w:rPr>
      </w:pPr>
      <w:r>
        <w:rPr/>
      </w:r>
      <m:oMath xmlns:m="http://schemas.openxmlformats.org/officeDocument/2006/math">
        <m:sSubSup>
          <m:e>
            <m:r>
              <w:rPr>
                <w:rFonts w:ascii="Cambria Math" w:hAnsi="Cambria Math"/>
              </w:rPr>
              <m:t xml:space="preserve">X</m:t>
            </m:r>
          </m:e>
          <m:sub>
            <m:r>
              <w:rPr>
                <w:rFonts w:ascii="Cambria Math" w:hAnsi="Cambria Math"/>
              </w:rPr>
              <m:t xml:space="preserve">min</m:t>
            </m:r>
          </m:sub>
          <m:sup>
            <m:r>
              <w:rPr>
                <w:rFonts w:ascii="Cambria Math" w:hAnsi="Cambria Math"/>
              </w:rPr>
              <m:t xml:space="preserve">N</m:t>
            </m:r>
          </m:sup>
        </m:sSubSup>
        <m:sSubSup>
          <m:e>
            <m:r>
              <w:rPr>
                <w:rFonts w:ascii="Cambria Math" w:hAnsi="Cambria Math"/>
              </w:rPr>
              <m:t xml:space="preserve">X</m:t>
            </m:r>
          </m:e>
          <m:sub>
            <m:r>
              <w:rPr>
                <w:rFonts w:ascii="Cambria Math" w:hAnsi="Cambria Math"/>
              </w:rPr>
              <m:t xml:space="preserve">max</m:t>
            </m:r>
          </m:sub>
          <m:sup>
            <m:r>
              <w:rPr>
                <w:rFonts w:ascii="Cambria Math" w:hAnsi="Cambria Math"/>
              </w:rPr>
              <m:t xml:space="preserve">N</m:t>
            </m:r>
          </m:sup>
        </m:sSubSup>
        <m:sSubSup>
          <m:e>
            <m:r>
              <w:rPr>
                <w:rFonts w:ascii="Cambria Math" w:hAnsi="Cambria Math"/>
              </w:rPr>
              <m:t xml:space="preserve">Y</m:t>
            </m:r>
          </m:e>
          <m:sub>
            <m:r>
              <w:rPr>
                <w:rFonts w:ascii="Cambria Math" w:hAnsi="Cambria Math"/>
              </w:rPr>
              <m:t xml:space="preserve">min</m:t>
            </m:r>
          </m:sub>
          <m:sup>
            <m:r>
              <w:rPr>
                <w:rFonts w:ascii="Cambria Math" w:hAnsi="Cambria Math"/>
              </w:rPr>
              <m:t xml:space="preserve">N</m:t>
            </m:r>
          </m:sup>
        </m:sSubSup>
        <m:sSubSup>
          <m:e>
            <m:r>
              <w:rPr>
                <w:rFonts w:ascii="Cambria Math" w:hAnsi="Cambria Math"/>
              </w:rPr>
              <m:t xml:space="preserve">Y</m:t>
            </m:r>
          </m:e>
          <m:sub>
            <m:r>
              <w:rPr>
                <w:rFonts w:ascii="Cambria Math" w:hAnsi="Cambria Math"/>
              </w:rPr>
              <m:t xml:space="preserve">max</m:t>
            </m:r>
          </m:sub>
          <m:sup>
            <m:r>
              <w:rPr>
                <w:rFonts w:ascii="Cambria Math" w:hAnsi="Cambria Math"/>
              </w:rPr>
              <m:t xml:space="preserve">N</m:t>
            </m:r>
          </m:sup>
        </m:sSubSup>
        <m:sSubSup>
          <m:e>
            <m:r>
              <w:rPr>
                <w:rFonts w:ascii="Cambria Math" w:hAnsi="Cambria Math"/>
              </w:rPr>
              <m:t xml:space="preserve">Z</m:t>
            </m:r>
          </m:e>
          <m:sub>
            <m:r>
              <w:rPr>
                <w:rFonts w:ascii="Cambria Math" w:hAnsi="Cambria Math"/>
              </w:rPr>
              <m:t xml:space="preserve">min</m:t>
            </m:r>
          </m:sub>
          <m:sup>
            <m:r>
              <w:rPr>
                <w:rFonts w:ascii="Cambria Math" w:hAnsi="Cambria Math"/>
              </w:rPr>
              <m:t xml:space="preserve">N</m:t>
            </m:r>
          </m:sup>
        </m:sSubSup>
        <m:sSubSup>
          <m:e>
            <m:r>
              <w:rPr>
                <w:rFonts w:ascii="Cambria Math" w:hAnsi="Cambria Math"/>
              </w:rPr>
              <m:t xml:space="preserve">Z</m:t>
            </m:r>
          </m:e>
          <m:sub>
            <m:r>
              <w:rPr>
                <w:rFonts w:ascii="Cambria Math" w:hAnsi="Cambria Math"/>
              </w:rPr>
              <m:t xml:space="preserve">max</m:t>
            </m:r>
          </m:sub>
          <m:sup>
            <m:r>
              <w:rPr>
                <w:rFonts w:ascii="Cambria Math" w:hAnsi="Cambria Math"/>
              </w:rPr>
              <m:t xml:space="preserve">N</m:t>
            </m:r>
          </m:sup>
        </m:sSubSup>
        <m:sSup>
          <m:e>
            <m:r>
              <w:rPr>
                <w:rFonts w:ascii="Cambria Math" w:hAnsi="Cambria Math"/>
              </w:rPr>
              <m:t xml:space="preserve">m</m:t>
            </m:r>
          </m:e>
          <m:sup>
            <m:r>
              <w:rPr>
                <w:rFonts w:ascii="Cambria Math" w:hAnsi="Cambria Math"/>
              </w:rPr>
              <m:t xml:space="preserve">N</m:t>
            </m:r>
          </m:sup>
        </m:sSup>
        <m:sSup>
          <m:e>
            <m:r>
              <w:rPr>
                <w:rFonts w:ascii="Cambria Math" w:hAnsi="Cambria Math"/>
              </w:rPr>
              <m:t xml:space="preserve">i</m:t>
            </m:r>
          </m:e>
          <m:sup>
            <m:r>
              <w:rPr>
                <w:rFonts w:ascii="Cambria Math" w:hAnsi="Cambria Math"/>
              </w:rPr>
              <m:t xml:space="preserve">N</m:t>
            </m:r>
          </m:sup>
        </m:sSup>
        <m:sSup>
          <m:e>
            <m:r>
              <w:rPr>
                <w:rFonts w:ascii="Cambria Math" w:hAnsi="Cambria Math"/>
              </w:rPr>
              <m:t xml:space="preserve">j</m:t>
            </m:r>
          </m:e>
          <m:sup>
            <m:r>
              <w:rPr>
                <w:rFonts w:ascii="Cambria Math" w:hAnsi="Cambria Math"/>
              </w:rPr>
              <m:t xml:space="preserve">N</m:t>
            </m:r>
          </m:sup>
        </m:sSup>
        <m:sSup>
          <m:e>
            <m:r>
              <w:rPr>
                <w:rFonts w:ascii="Cambria Math" w:hAnsi="Cambria Math"/>
              </w:rPr>
              <m:t xml:space="preserve">k</m:t>
            </m:r>
          </m:e>
          <m:sup>
            <m:r>
              <w:rPr>
                <w:rFonts w:ascii="Cambria Math" w:hAnsi="Cambria Math"/>
              </w:rPr>
              <m:t xml:space="preserve">N</m:t>
            </m:r>
          </m:sup>
        </m:sSup>
      </m:oMath>
    </w:p>
    <w:p>
      <w:pPr>
        <w:pStyle w:val="Normal"/>
        <w:rPr>
          <w:rFonts w:eastAsia="" w:eastAsiaTheme="minorEastAsia"/>
          <w:szCs w:val="24"/>
        </w:rPr>
      </w:pPr>
      <w:r>
        <w:rPr>
          <w:szCs w:val="24"/>
        </w:rPr>
        <w:t xml:space="preserve">Here </w:t>
      </w:r>
      <w:r>
        <w:rPr/>
      </w:r>
      <m:oMath xmlns:m="http://schemas.openxmlformats.org/officeDocument/2006/math">
        <m:r>
          <w:rPr>
            <w:rFonts w:ascii="Cambria Math" w:hAnsi="Cambria Math"/>
          </w:rPr>
          <m:t xml:space="preserve">N</m:t>
        </m:r>
      </m:oMath>
      <w:r>
        <w:rPr>
          <w:szCs w:val="24"/>
        </w:rPr>
        <w:t xml:space="preserve"> is the number of model cells, </w:t>
      </w:r>
      <w:r>
        <w:rPr/>
      </w:r>
      <m:oMath xmlns:m="http://schemas.openxmlformats.org/officeDocument/2006/math">
        <m:sSubSup>
          <m:e>
            <m:r>
              <w:rPr>
                <w:rFonts w:ascii="Cambria Math" w:hAnsi="Cambria Math"/>
              </w:rPr>
              <m:t xml:space="preserve">X</m:t>
            </m:r>
          </m:e>
          <m:sub>
            <m:r>
              <w:rPr>
                <w:rFonts w:ascii="Cambria Math" w:hAnsi="Cambria Math"/>
              </w:rPr>
              <m:t xml:space="preserve">min</m:t>
            </m:r>
          </m:sub>
          <m:sup>
            <m:r>
              <w:rPr>
                <w:rFonts w:ascii="Cambria Math" w:hAnsi="Cambria Math"/>
              </w:rPr>
              <m:t xml:space="preserve">i</m:t>
            </m:r>
          </m:sup>
        </m:sSubSup>
        <m:sSubSup>
          <m:e>
            <m:r>
              <w:rPr>
                <w:rFonts w:ascii="Cambria Math" w:hAnsi="Cambria Math"/>
              </w:rPr>
              <m:t xml:space="preserve">X</m:t>
            </m:r>
          </m:e>
          <m:sub>
            <m:r>
              <w:rPr>
                <w:rFonts w:ascii="Cambria Math" w:hAnsi="Cambria Math"/>
              </w:rPr>
              <m:t xml:space="preserve">max</m:t>
            </m:r>
          </m:sub>
          <m:sup>
            <m:r>
              <w:rPr>
                <w:rFonts w:ascii="Cambria Math" w:hAnsi="Cambria Math"/>
              </w:rPr>
              <m:t xml:space="preserve">i</m:t>
            </m:r>
          </m:sup>
        </m:sSubSup>
        <m:sSubSup>
          <m:e>
            <m:r>
              <w:rPr>
                <w:rFonts w:ascii="Cambria Math" w:hAnsi="Cambria Math"/>
              </w:rPr>
              <m:t xml:space="preserve">Y</m:t>
            </m:r>
          </m:e>
          <m:sub>
            <m:r>
              <w:rPr>
                <w:rFonts w:ascii="Cambria Math" w:hAnsi="Cambria Math"/>
              </w:rPr>
              <m:t xml:space="preserve">min</m:t>
            </m:r>
          </m:sub>
          <m:sup>
            <m:r>
              <w:rPr>
                <w:rFonts w:ascii="Cambria Math" w:hAnsi="Cambria Math"/>
              </w:rPr>
              <m:t xml:space="preserve">i</m:t>
            </m:r>
          </m:sup>
        </m:sSubSup>
        <m:sSubSup>
          <m:e>
            <m:r>
              <w:rPr>
                <w:rFonts w:ascii="Cambria Math" w:hAnsi="Cambria Math"/>
              </w:rPr>
              <m:t xml:space="preserve">Y</m:t>
            </m:r>
          </m:e>
          <m:sub>
            <m:r>
              <w:rPr>
                <w:rFonts w:ascii="Cambria Math" w:hAnsi="Cambria Math"/>
              </w:rPr>
              <m:t xml:space="preserve">max</m:t>
            </m:r>
          </m:sub>
          <m:sup>
            <m:r>
              <w:rPr>
                <w:rFonts w:ascii="Cambria Math" w:hAnsi="Cambria Math"/>
              </w:rPr>
              <m:t xml:space="preserve">i</m:t>
            </m:r>
          </m:sup>
        </m:sSubSup>
        <m:sSubSup>
          <m:e>
            <m:r>
              <w:rPr>
                <w:rFonts w:ascii="Cambria Math" w:hAnsi="Cambria Math"/>
              </w:rPr>
              <m:t xml:space="preserve">Z</m:t>
            </m:r>
          </m:e>
          <m:sub>
            <m:r>
              <w:rPr>
                <w:rFonts w:ascii="Cambria Math" w:hAnsi="Cambria Math"/>
              </w:rPr>
              <m:t xml:space="preserve">min</m:t>
            </m:r>
          </m:sub>
          <m:sup>
            <m:r>
              <w:rPr>
                <w:rFonts w:ascii="Cambria Math" w:hAnsi="Cambria Math"/>
              </w:rPr>
              <m:t xml:space="preserve">i</m:t>
            </m:r>
          </m:sup>
        </m:sSubSup>
        <m:sSubSup>
          <m:e>
            <m:r>
              <w:rPr>
                <w:rFonts w:ascii="Cambria Math" w:hAnsi="Cambria Math"/>
              </w:rPr>
              <m:t xml:space="preserve">Z</m:t>
            </m:r>
          </m:e>
          <m:sub>
            <m:r>
              <w:rPr>
                <w:rFonts w:ascii="Cambria Math" w:hAnsi="Cambria Math"/>
              </w:rPr>
              <m:t xml:space="preserve">max</m:t>
            </m:r>
          </m:sub>
          <m:sup>
            <m:r>
              <w:rPr>
                <w:rFonts w:ascii="Cambria Math" w:hAnsi="Cambria Math"/>
              </w:rPr>
              <m:t xml:space="preserve">i</m:t>
            </m:r>
          </m:sup>
        </m:sSubSup>
      </m:oMath>
      <w:r>
        <w:rPr>
          <w:rFonts w:eastAsia="" w:eastAsiaTheme="minorEastAsia"/>
          <w:szCs w:val="24"/>
        </w:rPr>
        <w:t xml:space="preserve"> are the min/max coordinates of the X, Y, Z planes of the cell (rectangular prism), </w:t>
      </w:r>
      <w:r>
        <w:rPr/>
      </w:r>
      <m:oMath xmlns:m="http://schemas.openxmlformats.org/officeDocument/2006/math">
        <m:sSup>
          <m:e>
            <m:r>
              <w:rPr>
                <w:rFonts w:ascii="Cambria Math" w:hAnsi="Cambria Math"/>
              </w:rPr>
              <m:t xml:space="preserve">m</m:t>
            </m:r>
          </m:e>
          <m:sup>
            <m:r>
              <w:rPr>
                <w:rFonts w:ascii="Cambria Math" w:hAnsi="Cambria Math"/>
              </w:rPr>
              <m:t xml:space="preserve">i</m:t>
            </m:r>
          </m:sup>
        </m:sSup>
      </m:oMath>
      <w:r>
        <w:rPr>
          <w:rFonts w:eastAsia="" w:eastAsiaTheme="minorEastAsia"/>
          <w:szCs w:val="24"/>
        </w:rPr>
        <w:t xml:space="preserve"> is the synthetic model value for forward modelling (zero </w:t>
      </w:r>
      <w:r>
        <w:rPr>
          <w:rFonts w:eastAsia="" w:eastAsiaTheme="minorEastAsia"/>
          <w:sz w:val="24"/>
          <w:szCs w:val="24"/>
        </w:rPr>
        <w:t>if not available</w:t>
      </w:r>
      <w:r>
        <w:rPr>
          <w:rFonts w:eastAsia="" w:eastAsiaTheme="minorEastAsia"/>
          <w:szCs w:val="24"/>
        </w:rPr>
        <w:t xml:space="preserve">), </w:t>
      </w:r>
      <w:r>
        <w:rPr/>
      </w:r>
      <m:oMath xmlns:m="http://schemas.openxmlformats.org/officeDocument/2006/math">
        <m:sSup>
          <m:e>
            <m:r>
              <w:rPr>
                <w:rFonts w:ascii="Cambria Math" w:hAnsi="Cambria Math"/>
              </w:rPr>
              <m:t xml:space="preserve">i</m:t>
            </m:r>
          </m:e>
          <m:sup>
            <m:r>
              <w:rPr>
                <w:rFonts w:ascii="Cambria Math" w:hAnsi="Cambria Math"/>
              </w:rPr>
              <m:t xml:space="preserve">i</m:t>
            </m:r>
          </m:sup>
        </m:sSup>
        <m:sSup>
          <m:e>
            <m:r>
              <w:rPr>
                <w:rFonts w:ascii="Cambria Math" w:hAnsi="Cambria Math"/>
              </w:rPr>
              <m:t xml:space="preserve">j</m:t>
            </m:r>
          </m:e>
          <m:sup>
            <m:r>
              <w:rPr>
                <w:rFonts w:ascii="Cambria Math" w:hAnsi="Cambria Math"/>
              </w:rPr>
              <m:t xml:space="preserve">i</m:t>
            </m:r>
          </m:sup>
        </m:sSup>
        <m:sSup>
          <m:e>
            <m:r>
              <w:rPr>
                <w:rFonts w:ascii="Cambria Math" w:hAnsi="Cambria Math"/>
              </w:rPr>
              <m:t xml:space="preserve">k</m:t>
            </m:r>
          </m:e>
          <m:sup>
            <m:r>
              <w:rPr>
                <w:rFonts w:ascii="Cambria Math" w:hAnsi="Cambria Math"/>
              </w:rPr>
              <m:t xml:space="preserve">i</m:t>
            </m:r>
          </m:sup>
        </m:sSup>
      </m:oMath>
      <w:r>
        <w:rPr>
          <w:rFonts w:eastAsia="" w:eastAsiaTheme="minorEastAsia"/>
          <w:szCs w:val="24"/>
        </w:rPr>
        <w:t xml:space="preserve"> is the 3D cell-index (integer).</w:t>
      </w:r>
    </w:p>
    <w:p>
      <w:pPr>
        <w:pStyle w:val="Normal"/>
        <w:rPr>
          <w:rFonts w:eastAsia="" w:eastAsiaTheme="minorEastAsia"/>
          <w:szCs w:val="24"/>
        </w:rPr>
      </w:pPr>
      <w:r>
        <w:rPr>
          <w:rFonts w:eastAsia="" w:eastAsiaTheme="minorEastAsia"/>
          <w:szCs w:val="24"/>
        </w:rPr>
        <w:t>Surface topography can be specified by draping the mesh beneath the topography. This approach eliminates the need to define air cells, thereby reducing the grid size and memory requirements, as illustrated in Figure 1.</w:t>
      </w:r>
    </w:p>
    <w:p>
      <w:pPr>
        <w:pStyle w:val="Normal"/>
        <w:rPr>
          <w:rFonts w:eastAsia="" w:eastAsiaTheme="minorEastAsia"/>
          <w:szCs w:val="24"/>
        </w:rPr>
      </w:pPr>
      <w:r>
        <w:rPr/>
        <w:drawing>
          <wp:inline distT="0" distB="0" distL="0" distR="0">
            <wp:extent cx="5356860" cy="152019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5356860" cy="1520190"/>
                    </a:xfrm>
                    <a:prstGeom prst="rect">
                      <a:avLst/>
                    </a:prstGeom>
                  </pic:spPr>
                </pic:pic>
              </a:graphicData>
            </a:graphic>
          </wp:inline>
        </w:drawing>
      </w:r>
    </w:p>
    <w:p>
      <w:pPr>
        <w:pStyle w:val="Normal"/>
        <w:jc w:val="left"/>
        <w:rPr>
          <w:rFonts w:eastAsia="" w:eastAsiaTheme="minorEastAsia"/>
          <w:sz w:val="22"/>
        </w:rPr>
      </w:pPr>
      <w:r>
        <w:rPr>
          <w:rFonts w:eastAsia="" w:eastAsiaTheme="minorEastAsia"/>
          <w:sz w:val="22"/>
        </w:rPr>
        <w:t>Figure 1. Example of a model grid with topography. Note that the mesh is effectively draped beneath the topography, with the cell height increasing with depth.</w:t>
      </w:r>
    </w:p>
    <w:p>
      <w:pPr>
        <w:pStyle w:val="Heading2"/>
        <w:numPr>
          <w:ilvl w:val="1"/>
          <w:numId w:val="6"/>
        </w:numPr>
        <w:rPr>
          <w:rFonts w:eastAsia="" w:eastAsiaTheme="minorEastAsia"/>
          <w:b/>
          <w:b/>
        </w:rPr>
      </w:pPr>
      <w:bookmarkStart w:id="22" w:name="_Toc112344876"/>
      <w:r>
        <w:rPr/>
        <w:t>Prior and starting models</w:t>
      </w:r>
      <w:bookmarkEnd w:id="22"/>
      <w:r>
        <w:rPr>
          <w:rFonts w:eastAsia="" w:eastAsiaTheme="minorEastAsia"/>
          <w:b/>
        </w:rPr>
        <w:t xml:space="preserve"> </w:t>
      </w:r>
    </w:p>
    <w:p>
      <w:pPr>
        <w:pStyle w:val="Normal"/>
        <w:rPr>
          <w:rFonts w:eastAsia="" w:eastAsiaTheme="minorEastAsia"/>
          <w:szCs w:val="24"/>
        </w:rPr>
      </w:pPr>
      <w:r>
        <w:rPr>
          <w:rFonts w:eastAsia="" w:eastAsiaTheme="minorEastAsia"/>
          <w:szCs w:val="24"/>
        </w:rPr>
        <w:t xml:space="preserve">The prior and starting models can be defined either from an input constant value (specified in the Parfile) or from files. To define uniform models using a constant value, set the model </w:t>
      </w:r>
      <w:r>
        <w:rPr>
          <w:rFonts w:eastAsia="" w:eastAsiaTheme="minorEastAsia"/>
          <w:b/>
          <w:bCs/>
          <w:szCs w:val="24"/>
        </w:rPr>
        <w:t>type</w:t>
      </w:r>
      <w:r>
        <w:rPr>
          <w:rFonts w:eastAsia="" w:eastAsiaTheme="minorEastAsia"/>
          <w:szCs w:val="24"/>
        </w:rPr>
        <w:t xml:space="preserve"> to 1 and specify the corresponding model </w:t>
      </w:r>
      <w:r>
        <w:rPr>
          <w:rFonts w:eastAsia="" w:eastAsiaTheme="minorEastAsia"/>
          <w:b/>
          <w:bCs/>
          <w:szCs w:val="24"/>
        </w:rPr>
        <w:t>value</w:t>
      </w:r>
      <w:r>
        <w:rPr>
          <w:rFonts w:eastAsia="" w:eastAsiaTheme="minorEastAsia"/>
          <w:szCs w:val="24"/>
        </w:rPr>
        <w:t xml:space="preserve">. To define models from files, set the model </w:t>
      </w:r>
      <w:r>
        <w:rPr>
          <w:rFonts w:eastAsia="" w:eastAsiaTheme="minorEastAsia"/>
          <w:b/>
          <w:bCs/>
          <w:szCs w:val="24"/>
        </w:rPr>
        <w:t>type</w:t>
      </w:r>
      <w:r>
        <w:rPr>
          <w:rFonts w:eastAsia="" w:eastAsiaTheme="minorEastAsia"/>
          <w:szCs w:val="24"/>
        </w:rPr>
        <w:t xml:space="preserve"> to 2 in the Parfile. In this case, the model file path. should be specified in the </w:t>
      </w:r>
      <w:r>
        <w:rPr>
          <w:rFonts w:eastAsia="" w:eastAsiaTheme="minorEastAsia"/>
          <w:b/>
          <w:bCs/>
          <w:szCs w:val="24"/>
        </w:rPr>
        <w:t>file</w:t>
      </w:r>
      <w:r>
        <w:rPr>
          <w:rFonts w:eastAsia="" w:eastAsiaTheme="minorEastAsia"/>
          <w:szCs w:val="24"/>
        </w:rPr>
        <w:t xml:space="preserve"> parameter. The file format is as follows: the first line contains the model size, followed by a list of model values in the same order as the input model grid. This format matches the output model, enabling direct use of the inverted model as a starting model for a new inversion.</w:t>
      </w:r>
    </w:p>
    <w:p>
      <w:pPr>
        <w:pStyle w:val="Heading2"/>
        <w:numPr>
          <w:ilvl w:val="1"/>
          <w:numId w:val="6"/>
        </w:numPr>
        <w:rPr/>
      </w:pPr>
      <w:bookmarkStart w:id="23" w:name="_Ref77439115"/>
      <w:bookmarkStart w:id="24" w:name="_Toc112344877"/>
      <w:r>
        <w:rPr/>
        <w:t>Disjoint interval bound constraints (ADMM)</w:t>
      </w:r>
      <w:bookmarkEnd w:id="23"/>
      <w:bookmarkEnd w:id="24"/>
    </w:p>
    <w:p>
      <w:pPr>
        <w:pStyle w:val="Normal"/>
        <w:rPr/>
      </w:pPr>
      <w:r>
        <w:rPr/>
        <w:t xml:space="preserve">Local bound constraints require a bounds file. The path to the bounds files is specified in the </w:t>
      </w:r>
      <w:r>
        <w:rPr>
          <w:b/>
          <w:bCs/>
        </w:rPr>
        <w:t>boundsFile</w:t>
      </w:r>
      <w:r>
        <w:rPr/>
        <w:t xml:space="preserve"> parameter. The format of the bounds file is as follows:</w:t>
      </w:r>
    </w:p>
    <w:p>
      <w:pPr>
        <w:pStyle w:val="Normal"/>
        <w:jc w:val="left"/>
        <w:rPr>
          <w:rFonts w:eastAsia="" w:eastAsiaTheme="minorEastAsia"/>
          <w:sz w:val="20"/>
          <w:szCs w:val="20"/>
          <w:highlight w:val="lightGray"/>
        </w:rPr>
      </w:pPr>
      <w:r>
        <w:rPr/>
      </w:r>
      <m:oMath xmlns:m="http://schemas.openxmlformats.org/officeDocument/2006/math">
        <m:r>
          <w:rPr>
            <w:rFonts w:ascii="Cambria Math" w:hAnsi="Cambria Math"/>
          </w:rPr>
          <m:t xml:space="preserve">N</m:t>
        </m:r>
        <m:r>
          <w:rPr>
            <w:rFonts w:ascii="Cambria Math" w:hAnsi="Cambria Math"/>
          </w:rPr>
          <m:t xml:space="preserve">L</m:t>
        </m:r>
      </m:oMath>
    </w:p>
    <w:p>
      <w:pPr>
        <w:pStyle w:val="Normal"/>
        <w:jc w:val="left"/>
        <w:rPr>
          <w:rFonts w:eastAsia="" w:eastAsiaTheme="minorEastAsia"/>
          <w:szCs w:val="24"/>
          <w:highlight w:val="lightGray"/>
        </w:rPr>
      </w:pPr>
      <w:r>
        <w:rPr/>
      </w:r>
      <m:oMath xmlns:m="http://schemas.openxmlformats.org/officeDocument/2006/math">
        <m:sSubSup>
          <m:e>
            <m:r>
              <w:rPr>
                <w:rFonts w:ascii="Cambria Math" w:hAnsi="Cambria Math"/>
              </w:rPr>
              <m:t xml:space="preserve">m</m:t>
            </m:r>
          </m:e>
          <m:sub>
            <m:r>
              <w:rPr>
                <w:rFonts w:ascii="Cambria Math" w:hAnsi="Cambria Math"/>
              </w:rPr>
              <m:t xml:space="preserve">min</m:t>
            </m:r>
          </m:sub>
          <m:sup>
            <m:r>
              <w:rPr>
                <w:rFonts w:ascii="Cambria Math" w:hAnsi="Cambria Math"/>
              </w:rPr>
              <m:t xml:space="preserve">1,1</m:t>
            </m:r>
          </m:sup>
        </m:sSubSup>
        <m:sSubSup>
          <m:e>
            <m:r>
              <w:rPr>
                <w:rFonts w:ascii="Cambria Math" w:hAnsi="Cambria Math"/>
              </w:rPr>
              <m:t xml:space="preserve">m</m:t>
            </m:r>
          </m:e>
          <m:sub>
            <m:r>
              <w:rPr>
                <w:rFonts w:ascii="Cambria Math" w:hAnsi="Cambria Math"/>
              </w:rPr>
              <m:t xml:space="preserve">max</m:t>
            </m:r>
          </m:sub>
          <m:sup>
            <m:r>
              <w:rPr>
                <w:rFonts w:ascii="Cambria Math" w:hAnsi="Cambria Math"/>
              </w:rPr>
              <m:t xml:space="preserve">1,1</m:t>
            </m:r>
          </m:sup>
        </m:sSubSup>
        <m:r>
          <w:rPr>
            <w:rFonts w:ascii="Cambria Math" w:hAnsi="Cambria Math"/>
          </w:rPr>
          <m:t xml:space="preserve">…</m:t>
        </m:r>
        <m:sSubSup>
          <m:e>
            <m:r>
              <w:rPr>
                <w:rFonts w:ascii="Cambria Math" w:hAnsi="Cambria Math"/>
              </w:rPr>
              <m:t xml:space="preserve">m</m:t>
            </m:r>
          </m:e>
          <m:sub>
            <m:r>
              <w:rPr>
                <w:rFonts w:ascii="Cambria Math" w:hAnsi="Cambria Math"/>
              </w:rPr>
              <m:t xml:space="preserve">min</m:t>
            </m:r>
          </m:sub>
          <m:sup>
            <m:r>
              <w:rPr>
                <w:rFonts w:ascii="Cambria Math" w:hAnsi="Cambria Math"/>
              </w:rPr>
              <m:t xml:space="preserve">1</m:t>
            </m:r>
            <m:r>
              <w:rPr>
                <w:rFonts w:ascii="Cambria Math" w:hAnsi="Cambria Math"/>
              </w:rPr>
              <m:t xml:space="preserve">,</m:t>
            </m:r>
            <m:r>
              <w:rPr>
                <w:rFonts w:ascii="Cambria Math" w:hAnsi="Cambria Math"/>
              </w:rPr>
              <m:t xml:space="preserve">L</m:t>
            </m:r>
          </m:sup>
        </m:sSubSup>
        <m:sSubSup>
          <m:e>
            <m:r>
              <w:rPr>
                <w:rFonts w:ascii="Cambria Math" w:hAnsi="Cambria Math"/>
              </w:rPr>
              <m:t xml:space="preserve">m</m:t>
            </m:r>
          </m:e>
          <m:sub>
            <m:r>
              <w:rPr>
                <w:rFonts w:ascii="Cambria Math" w:hAnsi="Cambria Math"/>
              </w:rPr>
              <m:t xml:space="preserve">max</m:t>
            </m:r>
          </m:sub>
          <m:sup>
            <m:r>
              <w:rPr>
                <w:rFonts w:ascii="Cambria Math" w:hAnsi="Cambria Math"/>
              </w:rPr>
              <m:t xml:space="preserve">1</m:t>
            </m:r>
            <m:r>
              <w:rPr>
                <w:rFonts w:ascii="Cambria Math" w:hAnsi="Cambria Math"/>
              </w:rPr>
              <m:t xml:space="preserve">,</m:t>
            </m:r>
            <m:r>
              <w:rPr>
                <w:rFonts w:ascii="Cambria Math" w:hAnsi="Cambria Math"/>
              </w:rPr>
              <m:t xml:space="preserve">L</m:t>
            </m:r>
          </m:sup>
        </m:sSubSup>
        <m:sSup>
          <m:e>
            <m:r>
              <w:rPr>
                <w:rFonts w:ascii="Cambria Math" w:hAnsi="Cambria Math"/>
              </w:rPr>
              <m:t xml:space="preserve">w</m:t>
            </m:r>
          </m:e>
          <m:sup>
            <m:r>
              <w:rPr>
                <w:rFonts w:ascii="Cambria Math" w:hAnsi="Cambria Math"/>
              </w:rPr>
              <m:t xml:space="preserve">1</m:t>
            </m:r>
          </m:sup>
        </m:sSup>
      </m:oMath>
    </w:p>
    <w:p>
      <w:pPr>
        <w:pStyle w:val="Normal"/>
        <w:jc w:val="left"/>
        <w:rPr>
          <w:rFonts w:eastAsia="" w:eastAsiaTheme="minorEastAsia"/>
          <w:szCs w:val="24"/>
          <w:highlight w:val="lightGray"/>
        </w:rPr>
      </w:pPr>
      <w:r>
        <w:rPr>
          <w:rFonts w:eastAsia="" w:eastAsiaTheme="minorEastAsia"/>
          <w:szCs w:val="24"/>
          <w:highlight w:val="lightGray"/>
        </w:rPr>
        <w:t>…</w:t>
      </w:r>
    </w:p>
    <w:p>
      <w:pPr>
        <w:pStyle w:val="Normal"/>
        <w:spacing w:before="0" w:after="240"/>
        <w:jc w:val="left"/>
        <w:rPr>
          <w:rFonts w:eastAsia="" w:eastAsiaTheme="minorEastAsia"/>
          <w:szCs w:val="24"/>
        </w:rPr>
      </w:pPr>
      <w:r>
        <w:rPr/>
      </w:r>
      <m:oMath xmlns:m="http://schemas.openxmlformats.org/officeDocument/2006/math">
        <m:sSubSup>
          <m:e>
            <m:r>
              <w:rPr>
                <w:rFonts w:ascii="Cambria Math" w:hAnsi="Cambria Math"/>
              </w:rPr>
              <m:t xml:space="preserve">m</m:t>
            </m:r>
          </m:e>
          <m:sub>
            <m:r>
              <w:rPr>
                <w:rFonts w:ascii="Cambria Math" w:hAnsi="Cambria Math"/>
              </w:rPr>
              <m:t xml:space="preserve">min</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sSubSup>
          <m:e>
            <m:r>
              <w:rPr>
                <w:rFonts w:ascii="Cambria Math" w:hAnsi="Cambria Math"/>
              </w:rPr>
              <m:t xml:space="preserve">m</m:t>
            </m:r>
          </m:e>
          <m:sub>
            <m:r>
              <w:rPr>
                <w:rFonts w:ascii="Cambria Math" w:hAnsi="Cambria Math"/>
              </w:rPr>
              <m:t xml:space="preserve">max</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sSubSup>
          <m:e>
            <m:r>
              <w:rPr>
                <w:rFonts w:ascii="Cambria Math" w:hAnsi="Cambria Math"/>
              </w:rPr>
              <m:t xml:space="preserve">m</m:t>
            </m:r>
          </m:e>
          <m:sub>
            <m:r>
              <w:rPr>
                <w:rFonts w:ascii="Cambria Math" w:hAnsi="Cambria Math"/>
              </w:rPr>
              <m:t xml:space="preserve">min</m:t>
            </m:r>
          </m:sub>
          <m:sup>
            <m:r>
              <w:rPr>
                <w:rFonts w:ascii="Cambria Math" w:hAnsi="Cambria Math"/>
              </w:rPr>
              <m:t xml:space="preserve">N</m:t>
            </m:r>
            <m:r>
              <w:rPr>
                <w:rFonts w:ascii="Cambria Math" w:hAnsi="Cambria Math"/>
              </w:rPr>
              <m:t xml:space="preserve">,</m:t>
            </m:r>
            <m:r>
              <w:rPr>
                <w:rFonts w:ascii="Cambria Math" w:hAnsi="Cambria Math"/>
              </w:rPr>
              <m:t xml:space="preserve">L</m:t>
            </m:r>
          </m:sup>
        </m:sSubSup>
        <m:sSubSup>
          <m:e>
            <m:r>
              <w:rPr>
                <w:rFonts w:ascii="Cambria Math" w:hAnsi="Cambria Math"/>
              </w:rPr>
              <m:t xml:space="preserve">m</m:t>
            </m:r>
          </m:e>
          <m:sub>
            <m:r>
              <w:rPr>
                <w:rFonts w:ascii="Cambria Math" w:hAnsi="Cambria Math"/>
              </w:rPr>
              <m:t xml:space="preserve">max</m:t>
            </m:r>
          </m:sub>
          <m:sup>
            <m:r>
              <w:rPr>
                <w:rFonts w:ascii="Cambria Math" w:hAnsi="Cambria Math"/>
              </w:rPr>
              <m:t xml:space="preserve">N</m:t>
            </m:r>
            <m:r>
              <w:rPr>
                <w:rFonts w:ascii="Cambria Math" w:hAnsi="Cambria Math"/>
              </w:rPr>
              <m:t xml:space="preserve">,</m:t>
            </m:r>
            <m:r>
              <w:rPr>
                <w:rFonts w:ascii="Cambria Math" w:hAnsi="Cambria Math"/>
              </w:rPr>
              <m:t xml:space="preserve">L</m:t>
            </m:r>
          </m:sup>
        </m:sSubSup>
        <m:sSup>
          <m:e>
            <m:r>
              <w:rPr>
                <w:rFonts w:ascii="Cambria Math" w:hAnsi="Cambria Math"/>
              </w:rPr>
              <m:t xml:space="preserve">w</m:t>
            </m:r>
          </m:e>
          <m:sup>
            <m:r>
              <w:rPr>
                <w:rFonts w:ascii="Cambria Math" w:hAnsi="Cambria Math"/>
              </w:rPr>
              <m:t xml:space="preserve">N</m:t>
            </m:r>
          </m:sup>
        </m:sSup>
      </m:oMath>
    </w:p>
    <w:p>
      <w:pPr>
        <w:pStyle w:val="Normal"/>
        <w:spacing w:before="0" w:after="240"/>
        <w:rPr/>
      </w:pPr>
      <w:r>
        <w:rPr/>
        <w:t xml:space="preserve">Here </w:t>
      </w:r>
      <w:r>
        <w:rPr/>
      </w:r>
      <m:oMath xmlns:m="http://schemas.openxmlformats.org/officeDocument/2006/math">
        <m:r>
          <w:rPr>
            <w:rFonts w:ascii="Cambria Math" w:hAnsi="Cambria Math"/>
          </w:rPr>
          <m:t xml:space="preserve">N</m:t>
        </m:r>
      </m:oMath>
      <w:r>
        <w:rPr/>
        <w:t xml:space="preserve"> is the number of model cells, </w:t>
      </w:r>
      <w:r>
        <w:rPr/>
      </w:r>
      <m:oMath xmlns:m="http://schemas.openxmlformats.org/officeDocument/2006/math">
        <m:r>
          <w:rPr>
            <w:rFonts w:ascii="Cambria Math" w:hAnsi="Cambria Math"/>
          </w:rPr>
          <m:t xml:space="preserve">L</m:t>
        </m:r>
      </m:oMath>
      <w:r>
        <w:rPr/>
        <w:t xml:space="preserve"> is the number of bounds (lithologies), and each subsequent line contains the minimum and maximum bounds for every lithology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L</m:t>
        </m:r>
      </m:oMath>
      <w:r>
        <w:rPr>
          <w:rFonts w:eastAsia="" w:eastAsiaTheme="minorEastAsia"/>
          <w:szCs w:val="24"/>
        </w:rPr>
        <w:t xml:space="preserve">), </w:t>
      </w:r>
      <w:r>
        <w:rPr/>
        <w:t xml:space="preserve">for the </w:t>
      </w:r>
      <w:r>
        <w:rPr>
          <w:i/>
        </w:rPr>
        <w:t>i</w:t>
      </w:r>
      <w:r>
        <w:rPr/>
        <w:t>-th model cell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oMath>
      <w:r>
        <w:rPr>
          <w:rFonts w:eastAsia="" w:eastAsiaTheme="minorEastAsia"/>
          <w:szCs w:val="24"/>
        </w:rPr>
        <w:t>), followed by the</w:t>
      </w:r>
      <w:r>
        <w:rPr/>
        <w:t xml:space="preserve"> the local weight </w:t>
      </w:r>
      <w:r>
        <w:rPr/>
      </w:r>
      <m:oMath xmlns:m="http://schemas.openxmlformats.org/officeDocument/2006/math">
        <m:sSup>
          <m:e>
            <m:r>
              <w:rPr>
                <w:rFonts w:ascii="Cambria Math" w:hAnsi="Cambria Math"/>
              </w:rPr>
              <m:t xml:space="preserve">w</m:t>
            </m:r>
          </m:e>
          <m:sup>
            <m:r>
              <w:rPr>
                <w:rFonts w:ascii="Cambria Math" w:hAnsi="Cambria Math"/>
              </w:rPr>
              <m:t xml:space="preserve">i</m:t>
            </m:r>
          </m:sup>
        </m:sSup>
      </m:oMath>
      <w:r>
        <w:rPr/>
        <w:t>. The local weight represents the degree of uncertainty for the corresponding constraint. If all bound constraints are equally uncertain, all weights should be set to unity. Examples of such bound constraint files can be found in the “</w:t>
      </w:r>
      <w:r>
        <w:rPr>
          <w:i/>
          <w:iCs/>
        </w:rPr>
        <w:t>data/gravmag/mansf_slice</w:t>
      </w:r>
      <w:r>
        <w:rPr/>
        <w:t>” folder.</w:t>
      </w:r>
    </w:p>
    <w:p>
      <w:pPr>
        <w:pStyle w:val="Heading2"/>
        <w:numPr>
          <w:ilvl w:val="1"/>
          <w:numId w:val="6"/>
        </w:numPr>
        <w:rPr/>
      </w:pPr>
      <w:bookmarkStart w:id="25" w:name="_Ref77439966"/>
      <w:bookmarkStart w:id="26" w:name="_Toc112344878"/>
      <w:r>
        <w:rPr/>
        <w:t>Clustering constrains</w:t>
      </w:r>
      <w:bookmarkEnd w:id="25"/>
      <w:bookmarkEnd w:id="26"/>
    </w:p>
    <w:p>
      <w:pPr>
        <w:pStyle w:val="Normal"/>
        <w:rPr>
          <w:szCs w:val="24"/>
        </w:rPr>
      </w:pPr>
      <w:r>
        <w:rPr>
          <w:szCs w:val="24"/>
        </w:rPr>
        <w:t>Clustering constraints require an input mixture file that describes the clusters (</w:t>
      </w:r>
      <w:r>
        <w:rPr>
          <w:b/>
          <w:bCs/>
          <w:szCs w:val="24"/>
        </w:rPr>
        <w:t>mixtureFile</w:t>
      </w:r>
      <w:r>
        <w:rPr>
          <w:szCs w:val="24"/>
        </w:rPr>
        <w:t>). The format of the mixture file is as follows:</w:t>
      </w:r>
    </w:p>
    <w:p>
      <w:pPr>
        <w:pStyle w:val="Normal"/>
        <w:jc w:val="left"/>
        <w:rPr>
          <w:rFonts w:eastAsia="" w:eastAsiaTheme="minorEastAsia"/>
          <w:szCs w:val="24"/>
          <w:highlight w:val="lightGray"/>
        </w:rPr>
      </w:pPr>
      <w:r>
        <w:rPr/>
      </w:r>
      <m:oMath xmlns:m="http://schemas.openxmlformats.org/officeDocument/2006/math">
        <m:r>
          <w:rPr>
            <w:rFonts w:ascii="Cambria Math" w:hAnsi="Cambria Math"/>
          </w:rPr>
          <m:t xml:space="preserve">n</m:t>
        </m:r>
      </m:oMath>
    </w:p>
    <w:p>
      <w:pPr>
        <w:pStyle w:val="Normal"/>
        <w:jc w:val="left"/>
        <w:rPr>
          <w:rFonts w:eastAsia="" w:eastAsiaTheme="minorEastAsia"/>
          <w:szCs w:val="24"/>
          <w:highlight w:val="lightGray"/>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sSubSup>
          <m:e>
            <m:r>
              <w:rPr>
                <w:rFonts w:ascii="Cambria Math" w:hAnsi="Cambria Math"/>
              </w:rPr>
              <m:t xml:space="preserve">μ</m:t>
            </m:r>
          </m:e>
          <m:sub>
            <m:r>
              <w:rPr>
                <w:rFonts w:ascii="Cambria Math" w:hAnsi="Cambria Math"/>
              </w:rPr>
              <m:t xml:space="preserve">1</m:t>
            </m:r>
          </m:sub>
          <m:sup>
            <m:r>
              <w:rPr>
                <w:rFonts w:ascii="Cambria Math" w:hAnsi="Cambria Math"/>
              </w:rPr>
              <m:t xml:space="preserve">G</m:t>
            </m:r>
          </m:sup>
        </m:sSubSup>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G</m:t>
            </m:r>
          </m:sup>
        </m:sSubSup>
        <m:sSubSup>
          <m:e>
            <m:r>
              <w:rPr>
                <w:rFonts w:ascii="Cambria Math" w:hAnsi="Cambria Math"/>
              </w:rPr>
              <m:t xml:space="preserve">μ</m:t>
            </m:r>
          </m:e>
          <m:sub>
            <m:r>
              <w:rPr>
                <w:rFonts w:ascii="Cambria Math" w:hAnsi="Cambria Math"/>
              </w:rPr>
              <m:t xml:space="preserve">1</m:t>
            </m:r>
          </m:sub>
          <m:sup>
            <m:r>
              <w:rPr>
                <w:rFonts w:ascii="Cambria Math" w:hAnsi="Cambria Math"/>
              </w:rPr>
              <m:t xml:space="preserve">M</m:t>
            </m:r>
          </m:sup>
        </m:sSubSup>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M</m:t>
            </m:r>
          </m:sup>
        </m:sSubSup>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GM</m:t>
            </m:r>
          </m:sup>
        </m:sSubSup>
      </m:oMath>
    </w:p>
    <w:p>
      <w:pPr>
        <w:pStyle w:val="Normal"/>
        <w:jc w:val="left"/>
        <w:rPr>
          <w:rFonts w:eastAsia="" w:eastAsiaTheme="minorEastAsia"/>
          <w:szCs w:val="24"/>
          <w:highlight w:val="lightGray"/>
        </w:rPr>
      </w:pPr>
      <w:r>
        <w:rPr>
          <w:rFonts w:eastAsia="" w:eastAsiaTheme="minorEastAsia"/>
          <w:szCs w:val="24"/>
          <w:highlight w:val="lightGray"/>
        </w:rPr>
        <w:t>…</w:t>
      </w:r>
    </w:p>
    <w:p>
      <w:pPr>
        <w:pStyle w:val="Normal"/>
        <w:jc w:val="left"/>
        <w:rPr>
          <w:rFonts w:eastAsia="" w:eastAsiaTheme="minorEastAsia"/>
          <w:szCs w:val="24"/>
        </w:rPr>
      </w:pPr>
      <w:r>
        <w:rPr/>
      </w:r>
      <m:oMath xmlns:m="http://schemas.openxmlformats.org/officeDocument/2006/math">
        <m:sSub>
          <m:e>
            <m:r>
              <w:rPr>
                <w:rFonts w:ascii="Cambria Math" w:hAnsi="Cambria Math"/>
              </w:rPr>
              <m:t xml:space="preserve">w</m:t>
            </m:r>
          </m:e>
          <m:sub>
            <m:r>
              <w:rPr>
                <w:rFonts w:ascii="Cambria Math" w:hAnsi="Cambria Math"/>
              </w:rPr>
              <m:t xml:space="preserve">n</m:t>
            </m:r>
          </m:sub>
        </m:sSub>
        <m:sSubSup>
          <m:e>
            <m:r>
              <w:rPr>
                <w:rFonts w:ascii="Cambria Math" w:hAnsi="Cambria Math"/>
              </w:rPr>
              <m:t xml:space="preserve">μ</m:t>
            </m:r>
          </m:e>
          <m:sub>
            <m:r>
              <w:rPr>
                <w:rFonts w:ascii="Cambria Math" w:hAnsi="Cambria Math"/>
              </w:rPr>
              <m:t xml:space="preserve">n</m:t>
            </m:r>
          </m:sub>
          <m:sup>
            <m:r>
              <w:rPr>
                <w:rFonts w:ascii="Cambria Math" w:hAnsi="Cambria Math"/>
              </w:rPr>
              <m:t xml:space="preserve">G</m:t>
            </m:r>
          </m:sup>
        </m:sSubSup>
        <m:sSubSup>
          <m:e>
            <m:r>
              <w:rPr>
                <w:rFonts w:ascii="Cambria Math" w:hAnsi="Cambria Math"/>
              </w:rPr>
              <m:t xml:space="preserve">σ</m:t>
            </m:r>
          </m:e>
          <m:sub>
            <m:r>
              <w:rPr>
                <w:rFonts w:ascii="Cambria Math" w:hAnsi="Cambria Math"/>
              </w:rPr>
              <m:t xml:space="preserve">n</m:t>
            </m:r>
          </m:sub>
          <m:sup>
            <m:r>
              <w:rPr>
                <w:rFonts w:ascii="Cambria Math" w:hAnsi="Cambria Math"/>
              </w:rPr>
              <m:t xml:space="preserve">G</m:t>
            </m:r>
          </m:sup>
        </m:sSubSup>
        <m:sSubSup>
          <m:e>
            <m:r>
              <w:rPr>
                <w:rFonts w:ascii="Cambria Math" w:hAnsi="Cambria Math"/>
              </w:rPr>
              <m:t xml:space="preserve">μ</m:t>
            </m:r>
          </m:e>
          <m:sub>
            <m:r>
              <w:rPr>
                <w:rFonts w:ascii="Cambria Math" w:hAnsi="Cambria Math"/>
              </w:rPr>
              <m:t xml:space="preserve">n</m:t>
            </m:r>
          </m:sub>
          <m:sup>
            <m:r>
              <w:rPr>
                <w:rFonts w:ascii="Cambria Math" w:hAnsi="Cambria Math"/>
              </w:rPr>
              <m:t xml:space="preserve">M</m:t>
            </m:r>
          </m:sup>
        </m:sSubSup>
        <m:sSubSup>
          <m:e>
            <m:r>
              <w:rPr>
                <w:rFonts w:ascii="Cambria Math" w:hAnsi="Cambria Math"/>
              </w:rPr>
              <m:t xml:space="preserve">σ</m:t>
            </m:r>
          </m:e>
          <m:sub>
            <m:r>
              <w:rPr>
                <w:rFonts w:ascii="Cambria Math" w:hAnsi="Cambria Math"/>
              </w:rPr>
              <m:t xml:space="preserve">n</m:t>
            </m:r>
          </m:sub>
          <m:sup>
            <m:r>
              <w:rPr>
                <w:rFonts w:ascii="Cambria Math" w:hAnsi="Cambria Math"/>
              </w:rPr>
              <m:t xml:space="preserve">M</m:t>
            </m:r>
          </m:sup>
        </m:sSubSup>
        <m:sSubSup>
          <m:e>
            <m:r>
              <w:rPr>
                <w:rFonts w:ascii="Cambria Math" w:hAnsi="Cambria Math"/>
              </w:rPr>
              <m:t xml:space="preserve">σ</m:t>
            </m:r>
          </m:e>
          <m:sub>
            <m:r>
              <w:rPr>
                <w:rFonts w:ascii="Cambria Math" w:hAnsi="Cambria Math"/>
              </w:rPr>
              <m:t xml:space="preserve">n</m:t>
            </m:r>
          </m:sub>
          <m:sup>
            <m:r>
              <w:rPr>
                <w:rFonts w:ascii="Cambria Math" w:hAnsi="Cambria Math"/>
              </w:rPr>
              <m:t xml:space="preserve">GM</m:t>
            </m:r>
          </m:sup>
        </m:sSubSup>
      </m:oMath>
    </w:p>
    <w:p>
      <w:pPr>
        <w:pStyle w:val="Normal"/>
        <w:rPr>
          <w:rFonts w:eastAsia="" w:eastAsiaTheme="minorEastAsia"/>
          <w:szCs w:val="24"/>
        </w:rPr>
      </w:pPr>
      <w:r>
        <w:rPr>
          <w:rFonts w:eastAsia="" w:eastAsiaTheme="minorEastAsia"/>
          <w:szCs w:val="24"/>
        </w:rPr>
        <w:t xml:space="preserve">Here, </w:t>
      </w:r>
      <w:r>
        <w:rPr/>
      </w:r>
      <m:oMath xmlns:m="http://schemas.openxmlformats.org/officeDocument/2006/math">
        <m:r>
          <w:rPr>
            <w:rFonts w:ascii="Cambria Math" w:hAnsi="Cambria Math"/>
          </w:rPr>
          <m:t xml:space="preserve">n</m:t>
        </m:r>
      </m:oMath>
      <w:r>
        <w:rPr>
          <w:rFonts w:eastAsia="" w:eastAsiaTheme="minorEastAsia"/>
          <w:szCs w:val="24"/>
        </w:rPr>
        <w:t xml:space="preserve"> is the number of clusters, and each subsequent line defines, for the </w:t>
      </w:r>
      <w:r>
        <w:rPr>
          <w:rFonts w:eastAsia="" w:eastAsiaTheme="minorEastAsia"/>
          <w:i/>
          <w:szCs w:val="24"/>
        </w:rPr>
        <w:t>i</w:t>
      </w:r>
      <w:r>
        <w:rPr>
          <w:rFonts w:eastAsia="" w:eastAsiaTheme="minorEastAsia"/>
          <w:szCs w:val="24"/>
        </w:rPr>
        <w:t xml:space="preserve">-th cluster, the local weight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rFonts w:eastAsia="" w:eastAsiaTheme="minorEastAsia"/>
          <w:szCs w:val="24"/>
        </w:rPr>
        <w:t>, the mean and standard deviation for gravity and magnetic problems (</w:t>
      </w:r>
      <w:r>
        <w:rPr/>
      </w:r>
      <m:oMath xmlns:m="http://schemas.openxmlformats.org/officeDocument/2006/math">
        <m:sSubSup>
          <m:e>
            <m:r>
              <w:rPr>
                <w:rFonts w:ascii="Cambria Math" w:hAnsi="Cambria Math"/>
              </w:rPr>
              <m:t xml:space="preserve">μ</m:t>
            </m:r>
          </m:e>
          <m:sub>
            <m:r>
              <w:rPr>
                <w:rFonts w:ascii="Cambria Math" w:hAnsi="Cambria Math"/>
              </w:rPr>
              <m:t xml:space="preserve">i</m:t>
            </m:r>
          </m:sub>
          <m:sup>
            <m:r>
              <w:rPr>
                <w:rFonts w:ascii="Cambria Math" w:hAnsi="Cambria Math"/>
              </w:rPr>
              <m:t xml:space="preserve">G</m:t>
            </m:r>
          </m:sup>
        </m:sSubSup>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G</m:t>
            </m:r>
          </m:sup>
        </m:sSubSup>
      </m:oMath>
      <w:r>
        <w:rPr>
          <w:rFonts w:eastAsia="" w:eastAsiaTheme="minorEastAsia"/>
          <w:szCs w:val="24"/>
        </w:rPr>
        <w:t xml:space="preserve"> and </w:t>
      </w:r>
      <w:r>
        <w:rPr/>
      </w:r>
      <m:oMath xmlns:m="http://schemas.openxmlformats.org/officeDocument/2006/math">
        <m:sSubSup>
          <m:e>
            <m:r>
              <w:rPr>
                <w:rFonts w:ascii="Cambria Math" w:hAnsi="Cambria Math"/>
              </w:rPr>
              <m:t xml:space="preserve">μ</m:t>
            </m:r>
          </m:e>
          <m:sub>
            <m:r>
              <w:rPr>
                <w:rFonts w:ascii="Cambria Math" w:hAnsi="Cambria Math"/>
              </w:rPr>
              <m:t xml:space="preserve">i</m:t>
            </m:r>
          </m:sub>
          <m:sup>
            <m:r>
              <w:rPr>
                <w:rFonts w:ascii="Cambria Math" w:hAnsi="Cambria Math"/>
              </w:rPr>
              <m:t xml:space="preserve">M</m:t>
            </m:r>
          </m:sup>
        </m:sSubSup>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M</m:t>
            </m:r>
          </m:sup>
        </m:sSubSup>
      </m:oMath>
      <w:r>
        <w:rPr>
          <w:rFonts w:eastAsia="" w:eastAsiaTheme="minorEastAsia"/>
          <w:szCs w:val="24"/>
        </w:rPr>
        <w:t xml:space="preserve">), and cross-term standard deviation </w:t>
      </w:r>
      <w:r>
        <w:rPr/>
      </w:r>
      <m:oMath xmlns:m="http://schemas.openxmlformats.org/officeDocument/2006/math">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GM</m:t>
            </m:r>
          </m:sup>
        </m:sSubSup>
      </m:oMath>
      <w:r>
        <w:rPr>
          <w:rFonts w:eastAsia="" w:eastAsiaTheme="minorEastAsia"/>
          <w:szCs w:val="24"/>
        </w:rPr>
        <w:t xml:space="preserve"> (in the multivariate normal distribution). </w:t>
      </w:r>
    </w:p>
    <w:p>
      <w:pPr>
        <w:pStyle w:val="Normal"/>
        <w:rPr/>
      </w:pPr>
      <w:r>
        <w:rPr>
          <w:rFonts w:eastAsia="" w:eastAsiaTheme="minorEastAsia"/>
          <w:szCs w:val="24"/>
        </w:rPr>
        <w:t>When the local type of constraints is selected (</w:t>
      </w:r>
      <w:r>
        <w:rPr>
          <w:rFonts w:eastAsia="" w:eastAsiaTheme="minorEastAsia"/>
          <w:b/>
          <w:bCs/>
          <w:szCs w:val="24"/>
        </w:rPr>
        <w:t>constraintsType</w:t>
      </w:r>
      <w:r>
        <w:rPr>
          <w:rFonts w:eastAsia="" w:eastAsiaTheme="minorEastAsia"/>
          <w:szCs w:val="24"/>
        </w:rPr>
        <w:t>=2), the cell weights file (</w:t>
      </w:r>
      <w:r>
        <w:rPr>
          <w:rFonts w:eastAsia="" w:eastAsiaTheme="minorEastAsia"/>
          <w:b/>
          <w:bCs/>
          <w:szCs w:val="24"/>
        </w:rPr>
        <w:t>cellWeightsFile</w:t>
      </w:r>
      <w:r>
        <w:rPr>
          <w:rFonts w:eastAsia="" w:eastAsiaTheme="minorEastAsia"/>
          <w:szCs w:val="24"/>
        </w:rPr>
        <w:t>) must also be provided, in the following format:</w:t>
      </w:r>
    </w:p>
    <w:p>
      <w:pPr>
        <w:pStyle w:val="Normal"/>
        <w:jc w:val="left"/>
        <w:rPr>
          <w:rFonts w:eastAsia="" w:eastAsiaTheme="minorEastAsia"/>
          <w:szCs w:val="24"/>
          <w:highlight w:val="lightGray"/>
        </w:rPr>
      </w:pPr>
      <w:r>
        <w:rPr/>
      </w:r>
      <m:oMath xmlns:m="http://schemas.openxmlformats.org/officeDocument/2006/math">
        <m:r>
          <w:rPr>
            <w:rFonts w:ascii="Cambria Math" w:hAnsi="Cambria Math"/>
          </w:rPr>
          <m:t xml:space="preserve">N</m:t>
        </m:r>
        <m:r>
          <w:rPr>
            <w:rFonts w:ascii="Cambria Math" w:hAnsi="Cambria Math"/>
          </w:rPr>
          <m:t xml:space="preserve">n</m:t>
        </m:r>
      </m:oMath>
    </w:p>
    <w:p>
      <w:pPr>
        <w:pStyle w:val="Normal"/>
        <w:jc w:val="left"/>
        <w:rPr>
          <w:rFonts w:eastAsia="" w:eastAsiaTheme="minorEastAsia"/>
          <w:szCs w:val="24"/>
          <w:highlight w:val="lightGray"/>
        </w:rPr>
      </w:pPr>
      <w:r>
        <w:rPr/>
      </w:r>
      <m:oMath xmlns:m="http://schemas.openxmlformats.org/officeDocument/2006/math">
        <m:sSubSup>
          <m:e>
            <m:r>
              <w:rPr>
                <w:rFonts w:ascii="Cambria Math" w:hAnsi="Cambria Math"/>
              </w:rPr>
              <m:t xml:space="preserve">w</m:t>
            </m:r>
          </m:e>
          <m:sub>
            <m:r>
              <w:rPr>
                <w:rFonts w:ascii="Cambria Math" w:hAnsi="Cambria Math"/>
              </w:rPr>
              <m:t xml:space="preserve">1</m:t>
            </m:r>
          </m:sub>
          <m:sup>
            <m:r>
              <w:rPr>
                <w:rFonts w:ascii="Cambria Math" w:hAnsi="Cambria Math"/>
              </w:rPr>
              <m:t xml:space="preserve">1</m:t>
            </m:r>
          </m:sup>
        </m:sSubSup>
      </m:oMath>
      <w:r>
        <w:rPr>
          <w:rFonts w:eastAsia="" w:eastAsiaTheme="minorEastAsia"/>
          <w:szCs w:val="24"/>
          <w:highlight w:val="lightGray"/>
        </w:rPr>
        <w:t>…</w:t>
      </w:r>
      <w:r>
        <w:rPr/>
      </w:r>
      <m:oMath xmlns:m="http://schemas.openxmlformats.org/officeDocument/2006/math">
        <m:sSubSup>
          <m:e>
            <m:r>
              <w:rPr>
                <w:rFonts w:ascii="Cambria Math" w:hAnsi="Cambria Math"/>
              </w:rPr>
              <m:t xml:space="preserve">w</m:t>
            </m:r>
          </m:e>
          <m:sub>
            <m:r>
              <w:rPr>
                <w:rFonts w:ascii="Cambria Math" w:hAnsi="Cambria Math"/>
              </w:rPr>
              <m:t xml:space="preserve">n</m:t>
            </m:r>
          </m:sub>
          <m:sup>
            <m:r>
              <w:rPr>
                <w:rFonts w:ascii="Cambria Math" w:hAnsi="Cambria Math"/>
              </w:rPr>
              <m:t xml:space="preserve">1</m:t>
            </m:r>
          </m:sup>
        </m:sSubSup>
      </m:oMath>
    </w:p>
    <w:p>
      <w:pPr>
        <w:pStyle w:val="Normal"/>
        <w:jc w:val="left"/>
        <w:rPr>
          <w:rFonts w:eastAsia="" w:eastAsiaTheme="minorEastAsia"/>
          <w:szCs w:val="24"/>
          <w:highlight w:val="lightGray"/>
        </w:rPr>
      </w:pPr>
      <w:r>
        <w:rPr>
          <w:rFonts w:eastAsia="" w:eastAsiaTheme="minorEastAsia"/>
          <w:szCs w:val="24"/>
          <w:highlight w:val="lightGray"/>
        </w:rPr>
        <w:t>…</w:t>
      </w:r>
    </w:p>
    <w:p>
      <w:pPr>
        <w:pStyle w:val="Normal"/>
        <w:jc w:val="left"/>
        <w:rPr>
          <w:rFonts w:eastAsia="" w:eastAsiaTheme="minorEastAsia"/>
          <w:szCs w:val="24"/>
        </w:rPr>
      </w:pPr>
      <w:r>
        <w:rPr/>
      </w:r>
      <m:oMath xmlns:m="http://schemas.openxmlformats.org/officeDocument/2006/math">
        <m:sSubSup>
          <m:e>
            <m:r>
              <w:rPr>
                <w:rFonts w:ascii="Cambria Math" w:hAnsi="Cambria Math"/>
              </w:rPr>
              <m:t xml:space="preserve">w</m:t>
            </m:r>
          </m:e>
          <m:sub>
            <m:r>
              <w:rPr>
                <w:rFonts w:ascii="Cambria Math" w:hAnsi="Cambria Math"/>
              </w:rPr>
              <m:t xml:space="preserve">1</m:t>
            </m:r>
          </m:sub>
          <m:sup>
            <m:r>
              <w:rPr>
                <w:rFonts w:ascii="Cambria Math" w:hAnsi="Cambria Math"/>
              </w:rPr>
              <m:t xml:space="preserve">N</m:t>
            </m:r>
          </m:sup>
        </m:sSubSup>
      </m:oMath>
      <w:r>
        <w:rPr>
          <w:rFonts w:eastAsia="" w:eastAsiaTheme="minorEastAsia"/>
          <w:szCs w:val="24"/>
          <w:highlight w:val="lightGray"/>
        </w:rPr>
        <w:t>…</w:t>
      </w:r>
      <w:r>
        <w:rPr/>
      </w:r>
      <m:oMath xmlns:m="http://schemas.openxmlformats.org/officeDocument/2006/math">
        <m:sSubSup>
          <m:e>
            <m:r>
              <w:rPr>
                <w:rFonts w:ascii="Cambria Math" w:hAnsi="Cambria Math"/>
              </w:rPr>
              <m:t xml:space="preserve">w</m:t>
            </m:r>
          </m:e>
          <m:sub>
            <m:r>
              <w:rPr>
                <w:rFonts w:ascii="Cambria Math" w:hAnsi="Cambria Math"/>
              </w:rPr>
              <m:t xml:space="preserve">n</m:t>
            </m:r>
          </m:sub>
          <m:sup>
            <m:r>
              <w:rPr>
                <w:rFonts w:ascii="Cambria Math" w:hAnsi="Cambria Math"/>
              </w:rPr>
              <m:t xml:space="preserve">N</m:t>
            </m:r>
          </m:sup>
        </m:sSubSup>
      </m:oMath>
    </w:p>
    <w:p>
      <w:pPr>
        <w:pStyle w:val="Normal"/>
        <w:rPr>
          <w:rFonts w:eastAsia="" w:eastAsiaTheme="minorEastAsia"/>
          <w:szCs w:val="24"/>
        </w:rPr>
      </w:pPr>
      <w:r>
        <w:rPr>
          <w:rFonts w:eastAsia="" w:eastAsiaTheme="minorEastAsia"/>
          <w:szCs w:val="24"/>
        </w:rPr>
        <w:t xml:space="preserve">Here </w:t>
      </w:r>
      <w:r>
        <w:rPr/>
      </w:r>
      <m:oMath xmlns:m="http://schemas.openxmlformats.org/officeDocument/2006/math">
        <m:r>
          <w:rPr>
            <w:rFonts w:ascii="Cambria Math" w:hAnsi="Cambria Math"/>
          </w:rPr>
          <m:t xml:space="preserve">N</m:t>
        </m:r>
      </m:oMath>
      <w:r>
        <w:rPr>
          <w:rFonts w:eastAsia="" w:eastAsiaTheme="minorEastAsia"/>
          <w:szCs w:val="24"/>
        </w:rPr>
        <w:t xml:space="preserve"> is the total number of cells, and </w:t>
      </w:r>
      <w:r>
        <w:rPr/>
      </w:r>
      <m:oMath xmlns:m="http://schemas.openxmlformats.org/officeDocument/2006/math">
        <m:r>
          <w:rPr>
            <w:rFonts w:ascii="Cambria Math" w:hAnsi="Cambria Math"/>
          </w:rPr>
          <m:t xml:space="preserve">n</m:t>
        </m:r>
      </m:oMath>
      <w:r>
        <w:rPr>
          <w:rFonts w:eastAsia="" w:eastAsiaTheme="minorEastAsia"/>
          <w:szCs w:val="24"/>
        </w:rPr>
        <w:t xml:space="preserve"> is the number of clusters. Each subsequent line contains the local cluster weights for the </w:t>
      </w:r>
      <w:r>
        <w:rPr>
          <w:rFonts w:eastAsia="" w:eastAsiaTheme="minorEastAsia"/>
          <w:i/>
          <w:szCs w:val="24"/>
        </w:rPr>
        <w:t>i</w:t>
      </w:r>
      <w:r>
        <w:rPr>
          <w:rFonts w:eastAsia="" w:eastAsiaTheme="minorEastAsia"/>
          <w:szCs w:val="24"/>
        </w:rPr>
        <w:t>-th cell. For more details on clustering constraints, refer to Ref. [7].</w:t>
      </w:r>
    </w:p>
    <w:p>
      <w:pPr>
        <w:pStyle w:val="Normal"/>
        <w:rPr>
          <w:rFonts w:eastAsia="" w:eastAsiaTheme="minorEastAsia"/>
          <w:szCs w:val="24"/>
        </w:rPr>
      </w:pPr>
      <w:r>
        <w:rPr>
          <w:rFonts w:eastAsia="" w:eastAsiaTheme="minorEastAsia"/>
          <w:szCs w:val="24"/>
        </w:rPr>
      </w:r>
      <w:r>
        <w:br w:type="page"/>
      </w:r>
    </w:p>
    <w:p>
      <w:pPr>
        <w:pStyle w:val="Heading1"/>
        <w:numPr>
          <w:ilvl w:val="0"/>
          <w:numId w:val="6"/>
        </w:numPr>
        <w:spacing w:before="240" w:after="360"/>
        <w:rPr/>
      </w:pPr>
      <w:bookmarkStart w:id="27" w:name="_Toc112344879"/>
      <w:r>
        <w:rPr/>
        <w:t>Description of the code output files</w:t>
      </w:r>
      <w:bookmarkEnd w:id="27"/>
    </w:p>
    <w:p>
      <w:pPr>
        <w:pStyle w:val="Normal"/>
        <w:rPr>
          <w:szCs w:val="24"/>
        </w:rPr>
      </w:pPr>
      <w:r>
        <w:rPr>
          <w:szCs w:val="24"/>
        </w:rPr>
        <w:t xml:space="preserve">Tomofast-x generates several types of output files, which are stored in the output folder specified by the </w:t>
      </w:r>
      <w:r>
        <w:rPr>
          <w:b/>
          <w:bCs/>
          <w:szCs w:val="24"/>
        </w:rPr>
        <w:t>global.outputFolderPath</w:t>
      </w:r>
      <w:r>
        <w:rPr>
          <w:szCs w:val="24"/>
        </w:rPr>
        <w:t xml:space="preserve"> parameter in the Parfile. The types of output files produced include:</w:t>
      </w:r>
    </w:p>
    <w:p>
      <w:pPr>
        <w:pStyle w:val="Normal"/>
        <w:numPr>
          <w:ilvl w:val="0"/>
          <w:numId w:val="9"/>
        </w:numPr>
        <w:rPr>
          <w:szCs w:val="24"/>
        </w:rPr>
      </w:pPr>
      <w:r>
        <w:rPr>
          <w:szCs w:val="24"/>
        </w:rPr>
        <w:t>Data files (txt)</w:t>
      </w:r>
    </w:p>
    <w:p>
      <w:pPr>
        <w:pStyle w:val="Normal"/>
        <w:numPr>
          <w:ilvl w:val="0"/>
          <w:numId w:val="9"/>
        </w:numPr>
        <w:rPr>
          <w:szCs w:val="24"/>
        </w:rPr>
      </w:pPr>
      <w:r>
        <w:rPr>
          <w:szCs w:val="24"/>
        </w:rPr>
        <w:t>Model files (txt)</w:t>
      </w:r>
    </w:p>
    <w:p>
      <w:pPr>
        <w:pStyle w:val="Normal"/>
        <w:numPr>
          <w:ilvl w:val="0"/>
          <w:numId w:val="9"/>
        </w:numPr>
        <w:rPr>
          <w:szCs w:val="24"/>
        </w:rPr>
      </w:pPr>
      <w:r>
        <w:rPr>
          <w:szCs w:val="24"/>
        </w:rPr>
        <w:t>Visualization files (vtk)</w:t>
      </w:r>
    </w:p>
    <w:p>
      <w:pPr>
        <w:pStyle w:val="Normal"/>
        <w:numPr>
          <w:ilvl w:val="0"/>
          <w:numId w:val="9"/>
        </w:numPr>
        <w:rPr>
          <w:szCs w:val="24"/>
        </w:rPr>
      </w:pPr>
      <w:r>
        <w:rPr>
          <w:szCs w:val="24"/>
        </w:rPr>
        <w:t>Analysis files (txt)</w:t>
      </w:r>
    </w:p>
    <w:p>
      <w:pPr>
        <w:pStyle w:val="Normal"/>
        <w:numPr>
          <w:ilvl w:val="0"/>
          <w:numId w:val="9"/>
        </w:numPr>
        <w:rPr>
          <w:szCs w:val="24"/>
        </w:rPr>
      </w:pPr>
      <w:r>
        <w:rPr>
          <w:szCs w:val="24"/>
        </w:rPr>
        <w:t>Code logs (written to the screen)</w:t>
      </w:r>
    </w:p>
    <w:p>
      <w:pPr>
        <w:pStyle w:val="Normal"/>
        <w:rPr>
          <w:szCs w:val="24"/>
        </w:rPr>
      </w:pPr>
      <w:r>
        <w:rPr>
          <w:szCs w:val="24"/>
        </w:rPr>
        <w:t>Each file type is described in more detail below. Note that the file names provided are for the gravity problem; for magnetic problems, the files have the same name, with the 'grav' prefix replaced by 'mag'.</w:t>
      </w:r>
    </w:p>
    <w:p>
      <w:pPr>
        <w:pStyle w:val="Heading2"/>
        <w:numPr>
          <w:ilvl w:val="1"/>
          <w:numId w:val="6"/>
        </w:numPr>
        <w:rPr/>
      </w:pPr>
      <w:bookmarkStart w:id="28" w:name="_Toc112344880"/>
      <w:r>
        <w:rPr/>
        <w:t>Data files</w:t>
      </w:r>
      <w:bookmarkEnd w:id="28"/>
    </w:p>
    <w:p>
      <w:pPr>
        <w:pStyle w:val="Normal"/>
        <w:rPr>
          <w:szCs w:val="24"/>
        </w:rPr>
      </w:pPr>
      <w:r>
        <w:rPr>
          <w:szCs w:val="24"/>
        </w:rPr>
        <w:t>The output data files follow the same format as the input data files and correspond to the gravity and magnetic problems, named with the prefixes "grav" and "mag." The files for the gravity problem are:</w:t>
      </w:r>
    </w:p>
    <w:p>
      <w:pPr>
        <w:pStyle w:val="ListParagraph"/>
        <w:numPr>
          <w:ilvl w:val="0"/>
          <w:numId w:val="2"/>
        </w:numPr>
        <w:rPr>
          <w:szCs w:val="24"/>
        </w:rPr>
      </w:pPr>
      <w:r>
        <w:rPr>
          <w:b/>
          <w:bCs/>
          <w:szCs w:val="24"/>
        </w:rPr>
        <w:t>grav_calc_read_data.txt</w:t>
      </w:r>
      <w:r>
        <w:rPr>
          <w:szCs w:val="24"/>
        </w:rPr>
        <w:t xml:space="preserve"> – Forward data calculated from the synthetic model (stored in the model grid).</w:t>
      </w:r>
    </w:p>
    <w:p>
      <w:pPr>
        <w:pStyle w:val="ListParagraph"/>
        <w:numPr>
          <w:ilvl w:val="0"/>
          <w:numId w:val="2"/>
        </w:numPr>
        <w:rPr>
          <w:szCs w:val="24"/>
        </w:rPr>
      </w:pPr>
      <w:r>
        <w:rPr>
          <w:b/>
          <w:bCs/>
          <w:szCs w:val="24"/>
        </w:rPr>
        <w:t>grav_observed_data.txt</w:t>
      </w:r>
      <w:r>
        <w:rPr>
          <w:szCs w:val="24"/>
        </w:rPr>
        <w:t xml:space="preserve"> – Observed data (identical to the input data).</w:t>
      </w:r>
    </w:p>
    <w:p>
      <w:pPr>
        <w:pStyle w:val="ListParagraph"/>
        <w:numPr>
          <w:ilvl w:val="0"/>
          <w:numId w:val="2"/>
        </w:numPr>
        <w:rPr>
          <w:szCs w:val="24"/>
        </w:rPr>
      </w:pPr>
      <w:r>
        <w:rPr>
          <w:b/>
          <w:bCs/>
          <w:szCs w:val="24"/>
        </w:rPr>
        <w:t>grav_calc_prior_data.txt</w:t>
      </w:r>
      <w:r>
        <w:rPr>
          <w:szCs w:val="24"/>
        </w:rPr>
        <w:t xml:space="preserve"> – Data response of the prior model.</w:t>
      </w:r>
    </w:p>
    <w:p>
      <w:pPr>
        <w:pStyle w:val="ListParagraph"/>
        <w:numPr>
          <w:ilvl w:val="0"/>
          <w:numId w:val="2"/>
        </w:numPr>
        <w:rPr>
          <w:szCs w:val="24"/>
        </w:rPr>
      </w:pPr>
      <w:r>
        <w:rPr>
          <w:b/>
          <w:bCs/>
          <w:szCs w:val="24"/>
        </w:rPr>
        <w:t>grav_calc_starting_data.txt</w:t>
      </w:r>
      <w:r>
        <w:rPr>
          <w:szCs w:val="24"/>
        </w:rPr>
        <w:t xml:space="preserve"> – Data response of the starting model.</w:t>
      </w:r>
    </w:p>
    <w:p>
      <w:pPr>
        <w:pStyle w:val="ListParagraph"/>
        <w:numPr>
          <w:ilvl w:val="0"/>
          <w:numId w:val="2"/>
        </w:numPr>
        <w:rPr>
          <w:szCs w:val="24"/>
        </w:rPr>
      </w:pPr>
      <w:r>
        <w:rPr>
          <w:b/>
          <w:bCs/>
          <w:szCs w:val="24"/>
        </w:rPr>
        <w:t>grav_calc_final_data.txt</w:t>
      </w:r>
      <w:r>
        <w:rPr>
          <w:szCs w:val="24"/>
        </w:rPr>
        <w:t xml:space="preserve"> – Data response of the final model (obtained from the inversion of the observed data).</w:t>
      </w:r>
    </w:p>
    <w:p>
      <w:pPr>
        <w:pStyle w:val="ListParagraph"/>
        <w:numPr>
          <w:ilvl w:val="0"/>
          <w:numId w:val="2"/>
        </w:numPr>
        <w:rPr>
          <w:szCs w:val="24"/>
        </w:rPr>
      </w:pPr>
      <w:r>
        <w:rPr>
          <w:b/>
          <w:bCs/>
          <w:szCs w:val="24"/>
        </w:rPr>
        <w:t>grav_misfit_final_data.txt</w:t>
      </w:r>
      <w:r>
        <w:rPr>
          <w:szCs w:val="24"/>
        </w:rPr>
        <w:t xml:space="preserve"> – Data misfit of the final model.</w:t>
      </w:r>
    </w:p>
    <w:p>
      <w:pPr>
        <w:pStyle w:val="Normal"/>
        <w:rPr>
          <w:szCs w:val="24"/>
        </w:rPr>
      </w:pPr>
      <w:r>
        <w:rPr>
          <w:szCs w:val="24"/>
        </w:rPr>
        <w:t>The code also generates corresponding data files in vtk format for visualisation in Paraview.</w:t>
      </w:r>
    </w:p>
    <w:p>
      <w:pPr>
        <w:pStyle w:val="Normal"/>
        <w:rPr>
          <w:szCs w:val="24"/>
        </w:rPr>
      </w:pPr>
      <w:r>
        <w:rPr>
          <w:szCs w:val="24"/>
        </w:rPr>
      </w:r>
    </w:p>
    <w:p>
      <w:pPr>
        <w:pStyle w:val="Heading2"/>
        <w:numPr>
          <w:ilvl w:val="1"/>
          <w:numId w:val="6"/>
        </w:numPr>
        <w:rPr/>
      </w:pPr>
      <w:bookmarkStart w:id="29" w:name="_Toc112344881"/>
      <w:r>
        <w:rPr/>
        <w:t>Model files</w:t>
      </w:r>
      <w:bookmarkEnd w:id="29"/>
    </w:p>
    <w:p>
      <w:pPr>
        <w:pStyle w:val="Normal"/>
        <w:rPr>
          <w:szCs w:val="24"/>
        </w:rPr>
      </w:pPr>
      <w:r>
        <w:rPr>
          <w:szCs w:val="24"/>
        </w:rPr>
        <w:t xml:space="preserve">The final model is stored in ASCII format in the </w:t>
      </w:r>
      <w:r>
        <w:rPr>
          <w:i/>
          <w:iCs/>
          <w:sz w:val="24"/>
          <w:szCs w:val="24"/>
        </w:rPr>
        <w:t>model</w:t>
      </w:r>
      <w:r>
        <w:rPr>
          <w:szCs w:val="24"/>
        </w:rPr>
        <w:t xml:space="preserve"> folder, which is created inside the output folder. It contains the model size, followed by a list of model values in the same order as the input model grid.</w:t>
      </w:r>
    </w:p>
    <w:p>
      <w:pPr>
        <w:pStyle w:val="Heading2"/>
        <w:numPr>
          <w:ilvl w:val="1"/>
          <w:numId w:val="6"/>
        </w:numPr>
        <w:rPr/>
      </w:pPr>
      <w:bookmarkStart w:id="30" w:name="_Toc112344882"/>
      <w:r>
        <w:rPr/>
        <w:t>Visualization files</w:t>
      </w:r>
      <w:bookmarkEnd w:id="30"/>
    </w:p>
    <w:p>
      <w:pPr>
        <w:pStyle w:val="Normal"/>
        <w:rPr>
          <w:szCs w:val="24"/>
        </w:rPr>
      </w:pPr>
      <w:r>
        <w:rPr>
          <w:szCs w:val="24"/>
        </w:rPr>
        <w:t>To visualize and analyze the final model, the code also generates models in binary vtk format, which can be viewed using the free open-source software Paraview. For example, for the gravity problem, the generated files are:</w:t>
      </w:r>
    </w:p>
    <w:p>
      <w:pPr>
        <w:pStyle w:val="ListParagraph"/>
        <w:numPr>
          <w:ilvl w:val="0"/>
          <w:numId w:val="3"/>
        </w:numPr>
        <w:rPr>
          <w:szCs w:val="24"/>
        </w:rPr>
      </w:pPr>
      <w:r>
        <w:rPr>
          <w:b/>
          <w:bCs/>
          <w:szCs w:val="24"/>
        </w:rPr>
        <w:t>grav_read_model3D_full.vtk</w:t>
      </w:r>
      <w:r>
        <w:rPr>
          <w:szCs w:val="24"/>
        </w:rPr>
        <w:t xml:space="preserve"> – the synthetic model (stored in the model grid).</w:t>
      </w:r>
    </w:p>
    <w:p>
      <w:pPr>
        <w:pStyle w:val="ListParagraph"/>
        <w:numPr>
          <w:ilvl w:val="0"/>
          <w:numId w:val="3"/>
        </w:numPr>
        <w:rPr>
          <w:szCs w:val="24"/>
        </w:rPr>
      </w:pPr>
      <w:r>
        <w:rPr>
          <w:b/>
          <w:bCs/>
          <w:szCs w:val="24"/>
        </w:rPr>
        <w:t>grav_prior_model3D_full.vtk</w:t>
      </w:r>
      <w:r>
        <w:rPr>
          <w:szCs w:val="24"/>
        </w:rPr>
        <w:t xml:space="preserve"> – the prior model.</w:t>
      </w:r>
    </w:p>
    <w:p>
      <w:pPr>
        <w:pStyle w:val="ListParagraph"/>
        <w:numPr>
          <w:ilvl w:val="0"/>
          <w:numId w:val="3"/>
        </w:numPr>
        <w:rPr>
          <w:szCs w:val="24"/>
        </w:rPr>
      </w:pPr>
      <w:r>
        <w:rPr>
          <w:b/>
          <w:bCs/>
          <w:szCs w:val="24"/>
        </w:rPr>
        <w:t>grav_starting_model3D_full.vtk</w:t>
      </w:r>
      <w:r>
        <w:rPr>
          <w:szCs w:val="24"/>
        </w:rPr>
        <w:t xml:space="preserve"> – the starting model.</w:t>
      </w:r>
    </w:p>
    <w:p>
      <w:pPr>
        <w:pStyle w:val="ListParagraph"/>
        <w:numPr>
          <w:ilvl w:val="0"/>
          <w:numId w:val="3"/>
        </w:numPr>
        <w:rPr>
          <w:szCs w:val="24"/>
        </w:rPr>
      </w:pPr>
      <w:r>
        <w:rPr>
          <w:b/>
          <w:bCs/>
          <w:szCs w:val="24"/>
        </w:rPr>
        <w:t>grav_final_model3D_full.vtk</w:t>
      </w:r>
      <w:r>
        <w:rPr>
          <w:szCs w:val="24"/>
        </w:rPr>
        <w:t xml:space="preserve"> – the final model obtained after inversion.</w:t>
      </w:r>
    </w:p>
    <w:p>
      <w:pPr>
        <w:pStyle w:val="Normal"/>
        <w:rPr>
          <w:szCs w:val="24"/>
        </w:rPr>
      </w:pPr>
      <w:r>
        <w:rPr>
          <w:szCs w:val="24"/>
        </w:rPr>
        <w:t>The code also generates vtk files with model slices (profiles) that cut the model in half along the x-, y-, and z-directions. The filenames are labelled with '</w:t>
      </w:r>
      <w:r>
        <w:rPr>
          <w:b/>
          <w:bCs/>
          <w:szCs w:val="24"/>
        </w:rPr>
        <w:t>half_x</w:t>
      </w:r>
      <w:r>
        <w:rPr>
          <w:szCs w:val="24"/>
        </w:rPr>
        <w:t>', '</w:t>
      </w:r>
      <w:r>
        <w:rPr>
          <w:b/>
          <w:bCs/>
          <w:szCs w:val="24"/>
        </w:rPr>
        <w:t>half_y</w:t>
      </w:r>
      <w:r>
        <w:rPr>
          <w:szCs w:val="24"/>
        </w:rPr>
        <w:t>', and '</w:t>
      </w:r>
      <w:r>
        <w:rPr>
          <w:b/>
          <w:bCs/>
          <w:szCs w:val="24"/>
        </w:rPr>
        <w:t>half_z</w:t>
      </w:r>
      <w:r>
        <w:rPr>
          <w:szCs w:val="24"/>
        </w:rPr>
        <w:t>', respectively.</w:t>
      </w:r>
    </w:p>
    <w:p>
      <w:pPr>
        <w:pStyle w:val="Normal"/>
        <w:rPr>
          <w:szCs w:val="24"/>
        </w:rPr>
      </w:pPr>
      <w:r>
        <w:rPr>
          <w:szCs w:val="24"/>
        </w:rPr>
        <w:t>The code also generates corresponding data files (including data misfit) in the vtk format for visualisation in Paraview. These files are labelled with the '</w:t>
      </w:r>
      <w:r>
        <w:rPr>
          <w:b/>
          <w:bCs/>
          <w:szCs w:val="24"/>
        </w:rPr>
        <w:t>data_</w:t>
      </w:r>
      <w:r>
        <w:rPr>
          <w:szCs w:val="24"/>
        </w:rPr>
        <w:t>' prefix.</w:t>
      </w:r>
    </w:p>
    <w:p>
      <w:pPr>
        <w:pStyle w:val="Normal"/>
        <w:rPr>
          <w:szCs w:val="24"/>
        </w:rPr>
      </w:pPr>
      <w:r>
        <w:rPr>
          <w:szCs w:val="24"/>
        </w:rPr>
      </w:r>
    </w:p>
    <w:p>
      <w:pPr>
        <w:pStyle w:val="Heading2"/>
        <w:numPr>
          <w:ilvl w:val="1"/>
          <w:numId w:val="6"/>
        </w:numPr>
        <w:rPr/>
      </w:pPr>
      <w:bookmarkStart w:id="31" w:name="_Toc112344883"/>
      <w:r>
        <w:rPr/>
        <w:t>Analysis files</w:t>
      </w:r>
      <w:bookmarkEnd w:id="31"/>
    </w:p>
    <w:p>
      <w:pPr>
        <w:pStyle w:val="Normal"/>
        <w:rPr>
          <w:szCs w:val="24"/>
        </w:rPr>
      </w:pPr>
      <w:r>
        <w:rPr>
          <w:szCs w:val="24"/>
        </w:rPr>
        <w:t>The code also produces some additional files for various analysis (e.g. convergence):</w:t>
      </w:r>
    </w:p>
    <w:p>
      <w:pPr>
        <w:pStyle w:val="ListParagraph"/>
        <w:numPr>
          <w:ilvl w:val="0"/>
          <w:numId w:val="4"/>
        </w:numPr>
        <w:rPr>
          <w:color w:val="002060"/>
          <w:szCs w:val="24"/>
        </w:rPr>
      </w:pPr>
      <w:r>
        <w:rPr>
          <w:b/>
          <w:bCs/>
          <w:color w:val="000000"/>
          <w:szCs w:val="24"/>
        </w:rPr>
        <w:t>costs.txt</w:t>
      </w:r>
      <w:r>
        <w:rPr>
          <w:color w:val="002060"/>
          <w:szCs w:val="24"/>
        </w:rPr>
        <w:t xml:space="preserve"> </w:t>
      </w:r>
      <w:r>
        <w:rPr>
          <w:szCs w:val="24"/>
        </w:rPr>
        <w:t>– Contains various convergence information, summarized in the table below:</w:t>
      </w:r>
    </w:p>
    <w:p>
      <w:pPr>
        <w:pStyle w:val="ListParagraph"/>
        <w:rPr>
          <w:color w:val="000000"/>
          <w:szCs w:val="24"/>
        </w:rPr>
      </w:pPr>
      <w:r>
        <w:rPr>
          <w:color w:val="000000"/>
          <w:szCs w:val="24"/>
        </w:rPr>
      </w:r>
    </w:p>
    <w:p>
      <w:pPr>
        <w:pStyle w:val="ListParagraph"/>
        <w:rPr>
          <w:color w:val="000000"/>
          <w:szCs w:val="24"/>
        </w:rPr>
      </w:pPr>
      <w:r>
        <w:rPr>
          <w:color w:val="000000"/>
          <w:szCs w:val="24"/>
        </w:rPr>
      </w:r>
    </w:p>
    <w:tbl>
      <w:tblPr>
        <w:tblW w:w="7503" w:type="dxa"/>
        <w:jc w:val="center"/>
        <w:tblInd w:w="0" w:type="dxa"/>
        <w:tblCellMar>
          <w:top w:w="0" w:type="dxa"/>
          <w:left w:w="108" w:type="dxa"/>
          <w:bottom w:w="0" w:type="dxa"/>
          <w:right w:w="108" w:type="dxa"/>
        </w:tblCellMar>
        <w:tblLook w:val="04a0" w:noHBand="0" w:noVBand="1" w:firstColumn="1" w:lastRow="0" w:lastColumn="0" w:firstRow="1"/>
      </w:tblPr>
      <w:tblGrid>
        <w:gridCol w:w="982"/>
        <w:gridCol w:w="6520"/>
      </w:tblGrid>
      <w:tr>
        <w:trPr>
          <w:trHeight w:val="315" w:hRule="atLeast"/>
        </w:trPr>
        <w:tc>
          <w:tcPr>
            <w:tcW w:w="982" w:type="dxa"/>
            <w:tcBorders>
              <w:top w:val="single" w:sz="8" w:space="0" w:color="000000"/>
              <w:left w:val="single" w:sz="8" w:space="0" w:color="000000"/>
              <w:bottom w:val="single" w:sz="8" w:space="0" w:color="000000"/>
              <w:right w:val="single" w:sz="8" w:space="0" w:color="000000"/>
            </w:tcBorders>
          </w:tcPr>
          <w:p>
            <w:pPr>
              <w:pStyle w:val="Normal"/>
              <w:spacing w:before="0" w:after="160"/>
              <w:rPr>
                <w:color w:val="000000"/>
              </w:rPr>
            </w:pPr>
            <w:r>
              <w:rPr>
                <w:color w:val="000000"/>
              </w:rPr>
              <w:t>Column</w:t>
            </w:r>
          </w:p>
        </w:tc>
        <w:tc>
          <w:tcPr>
            <w:tcW w:w="6520" w:type="dxa"/>
            <w:tcBorders>
              <w:top w:val="single" w:sz="8" w:space="0" w:color="000000"/>
              <w:bottom w:val="single" w:sz="8" w:space="0" w:color="000000"/>
              <w:right w:val="single" w:sz="8" w:space="0" w:color="000000"/>
            </w:tcBorders>
          </w:tcPr>
          <w:p>
            <w:pPr>
              <w:pStyle w:val="Normal"/>
              <w:spacing w:before="0" w:after="160"/>
              <w:rPr>
                <w:color w:val="000000"/>
              </w:rPr>
            </w:pPr>
            <w:r>
              <w:rPr>
                <w:color w:val="000000"/>
              </w:rPr>
              <w:t>Meaning</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Major iteration number.</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2</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Data cost (misfit) for gravity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3</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Data cost (misfit) for magnetic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4</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Model cost for gravity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5</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Model cost for magnetic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6</w:t>
            </w:r>
          </w:p>
        </w:tc>
        <w:tc>
          <w:tcPr>
            <w:tcW w:w="6520" w:type="dxa"/>
            <w:tcBorders>
              <w:bottom w:val="single" w:sz="8" w:space="0" w:color="000000"/>
              <w:right w:val="single" w:sz="8" w:space="0" w:color="000000"/>
            </w:tcBorders>
          </w:tcPr>
          <w:p>
            <w:pPr>
              <w:pStyle w:val="Normal"/>
              <w:spacing w:before="0" w:after="160"/>
              <w:rPr>
                <w:color w:val="000000"/>
              </w:rPr>
            </w:pPr>
            <w:r>
              <w:rPr/>
              <w:t xml:space="preserve">ADMM cost for gravity </w:t>
            </w:r>
            <w:r>
              <w:rPr>
                <w:color w:val="000000"/>
              </w:rPr>
              <w:t>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widowControl/>
              <w:bidi w:val="0"/>
              <w:spacing w:lineRule="auto" w:line="288" w:before="0" w:after="160"/>
              <w:jc w:val="both"/>
              <w:rPr/>
            </w:pPr>
            <w:r>
              <w:rPr/>
              <w:t>7</w:t>
            </w:r>
          </w:p>
        </w:tc>
        <w:tc>
          <w:tcPr>
            <w:tcW w:w="6520" w:type="dxa"/>
            <w:tcBorders>
              <w:bottom w:val="single" w:sz="8" w:space="0" w:color="000000"/>
              <w:right w:val="single" w:sz="8" w:space="0" w:color="000000"/>
            </w:tcBorders>
          </w:tcPr>
          <w:p>
            <w:pPr>
              <w:pStyle w:val="Normal"/>
              <w:widowControl/>
              <w:bidi w:val="0"/>
              <w:spacing w:lineRule="auto" w:line="288" w:before="0" w:after="160"/>
              <w:jc w:val="both"/>
              <w:rPr/>
            </w:pPr>
            <w:r>
              <w:rPr/>
              <w:t>ADMM cost for magnetic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8</w:t>
            </w:r>
          </w:p>
        </w:tc>
        <w:tc>
          <w:tcPr>
            <w:tcW w:w="6520" w:type="dxa"/>
            <w:tcBorders>
              <w:bottom w:val="single" w:sz="8" w:space="0" w:color="000000"/>
              <w:right w:val="single" w:sz="8" w:space="0" w:color="000000"/>
            </w:tcBorders>
          </w:tcPr>
          <w:p>
            <w:pPr>
              <w:pStyle w:val="Normal"/>
              <w:spacing w:before="0" w:after="160"/>
              <w:rPr>
                <w:color w:val="000000"/>
              </w:rPr>
            </w:pPr>
            <w:r>
              <w:rPr/>
              <w:t>ADMM weight for gravity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9</w:t>
            </w:r>
          </w:p>
        </w:tc>
        <w:tc>
          <w:tcPr>
            <w:tcW w:w="6520" w:type="dxa"/>
            <w:tcBorders>
              <w:bottom w:val="single" w:sz="8" w:space="0" w:color="000000"/>
              <w:right w:val="single" w:sz="8" w:space="0" w:color="000000"/>
            </w:tcBorders>
          </w:tcPr>
          <w:p>
            <w:pPr>
              <w:pStyle w:val="Normal"/>
              <w:spacing w:before="0" w:after="160"/>
              <w:rPr>
                <w:color w:val="000000"/>
              </w:rPr>
            </w:pPr>
            <w:r>
              <w:rPr/>
              <w:t>ADMM weight for magnetic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10</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Damping gradient cost in X-direction for gravity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11</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Damping gradient cost in Y-direction for gravity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12</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Damping gradient cost in Z-direction for gravity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13</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Damping gradient cost in X-direction for magnetic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14</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Damping gradient cost in Y-direction for magnetic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15</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Damping gradient cost in Z-direction for magnetic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16</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Cross-gradient cost in X-direction.</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17</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Cross-gradient cost in Y-direction.</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18</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Cross-gradient cost in Z-direction.</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19</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Clustering cost for gravity problem.</w:t>
            </w:r>
          </w:p>
        </w:tc>
      </w:tr>
      <w:tr>
        <w:trPr>
          <w:trHeight w:val="315" w:hRule="atLeast"/>
        </w:trPr>
        <w:tc>
          <w:tcPr>
            <w:tcW w:w="982" w:type="dxa"/>
            <w:tcBorders>
              <w:left w:val="single" w:sz="8" w:space="0" w:color="000000"/>
              <w:bottom w:val="single" w:sz="8" w:space="0" w:color="000000"/>
              <w:right w:val="single" w:sz="8" w:space="0" w:color="000000"/>
            </w:tcBorders>
          </w:tcPr>
          <w:p>
            <w:pPr>
              <w:pStyle w:val="Normal"/>
              <w:spacing w:before="0" w:after="160"/>
              <w:rPr>
                <w:color w:val="000000"/>
              </w:rPr>
            </w:pPr>
            <w:r>
              <w:rPr>
                <w:color w:val="000000"/>
              </w:rPr>
              <w:t>20</w:t>
            </w:r>
          </w:p>
        </w:tc>
        <w:tc>
          <w:tcPr>
            <w:tcW w:w="6520" w:type="dxa"/>
            <w:tcBorders>
              <w:bottom w:val="single" w:sz="8" w:space="0" w:color="000000"/>
              <w:right w:val="single" w:sz="8" w:space="0" w:color="000000"/>
            </w:tcBorders>
          </w:tcPr>
          <w:p>
            <w:pPr>
              <w:pStyle w:val="Normal"/>
              <w:spacing w:before="0" w:after="160"/>
              <w:rPr>
                <w:color w:val="000000"/>
              </w:rPr>
            </w:pPr>
            <w:r>
              <w:rPr>
                <w:color w:val="000000"/>
              </w:rPr>
              <w:t>Clustering cost for magnetic problem.</w:t>
            </w:r>
          </w:p>
        </w:tc>
      </w:tr>
    </w:tbl>
    <w:p>
      <w:pPr>
        <w:pStyle w:val="Normal"/>
        <w:ind w:left="360" w:hanging="0"/>
        <w:rPr>
          <w:color w:val="002060"/>
          <w:szCs w:val="24"/>
        </w:rPr>
      </w:pPr>
      <w:r>
        <w:rPr>
          <w:color w:val="002060"/>
          <w:szCs w:val="24"/>
        </w:rPr>
      </w:r>
    </w:p>
    <w:p>
      <w:pPr>
        <w:pStyle w:val="ListParagraph"/>
        <w:numPr>
          <w:ilvl w:val="0"/>
          <w:numId w:val="4"/>
        </w:numPr>
        <w:rPr>
          <w:color w:val="002060"/>
          <w:szCs w:val="24"/>
        </w:rPr>
      </w:pPr>
      <w:r>
        <w:rPr>
          <w:b/>
          <w:bCs/>
          <w:color w:val="000000"/>
          <w:sz w:val="24"/>
          <w:szCs w:val="24"/>
        </w:rPr>
        <w:t>model</w:t>
      </w:r>
      <w:r>
        <w:rPr>
          <w:b/>
          <w:bCs/>
          <w:color w:val="000000"/>
          <w:szCs w:val="24"/>
        </w:rPr>
        <w:t>/clustering_data.txt</w:t>
      </w:r>
      <w:r>
        <w:rPr>
          <w:color w:val="002060"/>
          <w:szCs w:val="24"/>
        </w:rPr>
        <w:t xml:space="preserve"> </w:t>
      </w:r>
      <w:r>
        <w:rPr>
          <w:szCs w:val="24"/>
        </w:rPr>
        <w:t>– Generated when clustering constraints are used. It contains model cell data followed by Gaussian mixture value, two derivatives (with respect to gravity and magnetic models), and the value of each mixture element (local Gaussian, one per cluster).</w:t>
      </w:r>
    </w:p>
    <w:p>
      <w:pPr>
        <w:pStyle w:val="ListParagraph"/>
        <w:rPr>
          <w:color w:val="002060"/>
          <w:szCs w:val="24"/>
        </w:rPr>
      </w:pPr>
      <w:r>
        <w:rPr>
          <w:color w:val="002060"/>
          <w:szCs w:val="24"/>
        </w:rPr>
      </w:r>
    </w:p>
    <w:p>
      <w:pPr>
        <w:pStyle w:val="Heading2"/>
        <w:numPr>
          <w:ilvl w:val="1"/>
          <w:numId w:val="6"/>
        </w:numPr>
        <w:rPr/>
      </w:pPr>
      <w:bookmarkStart w:id="32" w:name="_Toc112344884"/>
      <w:r>
        <w:rPr/>
        <w:t>Screen log</w:t>
      </w:r>
      <w:bookmarkEnd w:id="32"/>
    </w:p>
    <w:p>
      <w:pPr>
        <w:pStyle w:val="Normal"/>
        <w:rPr>
          <w:szCs w:val="24"/>
        </w:rPr>
      </w:pPr>
      <w:r>
        <w:rPr>
          <w:szCs w:val="24"/>
        </w:rPr>
        <w:t>During code execution, information about the current state of convergence is generated and written to the screen log. This information helps to understand how input parameters affect the rate and quality of convergence. One key parameter to monitor during the inversion process is the relative data misfit, defined as:</w:t>
      </w:r>
    </w:p>
    <w:p>
      <w:pPr>
        <w:pStyle w:val="Normal"/>
        <w:jc w:val="center"/>
        <w:rPr>
          <w:rFonts w:eastAsia="" w:eastAsiaTheme="minorEastAsia"/>
          <w:sz w:val="28"/>
          <w:szCs w:val="24"/>
        </w:rPr>
      </w:pPr>
      <w:r>
        <w:rPr/>
      </w:r>
      <m:oMath xmlns:m="http://schemas.openxmlformats.org/officeDocument/2006/math">
        <m:r>
          <w:rPr>
            <w:rFonts w:ascii="Cambria Math" w:hAnsi="Cambria Math"/>
          </w:rPr>
          <m:t xml:space="preserve">cost</m:t>
        </m:r>
        <m:r>
          <w:rPr>
            <w:rFonts w:ascii="Cambria Math" w:hAnsi="Cambria Math"/>
          </w:rPr>
          <m:t xml:space="preserve">=</m:t>
        </m:r>
        <m:rad>
          <m:radPr>
            <m:degHide m:val="1"/>
          </m:radPr>
          <m:deg/>
          <m:e>
            <m:f>
              <m:num>
                <m:sSubSup>
                  <m:e>
                    <m:d>
                      <m:dPr>
                        <m:begChr m:val="‖"/>
                        <m:endChr m:val="‖"/>
                      </m:dPr>
                      <m:e>
                        <m:sSub>
                          <m:e>
                            <m:r>
                              <w:rPr>
                                <w:rFonts w:ascii="Cambria Math" w:hAnsi="Cambria Math"/>
                              </w:rPr>
                              <m:t xml:space="preserve">d</m:t>
                            </m:r>
                          </m:e>
                          <m:sub>
                            <m:r>
                              <w:rPr>
                                <w:rFonts w:ascii="Cambria Math" w:hAnsi="Cambria Math"/>
                              </w:rPr>
                              <m:t xml:space="preserve">calc</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obs</m:t>
                            </m:r>
                          </m:sub>
                        </m:sSub>
                      </m:e>
                    </m:d>
                  </m:e>
                  <m:sub>
                    <m:r>
                      <w:rPr>
                        <w:rFonts w:ascii="Cambria Math" w:hAnsi="Cambria Math"/>
                      </w:rPr>
                      <m:t xml:space="preserve">2</m:t>
                    </m:r>
                  </m:sub>
                  <m:sup>
                    <m:r>
                      <w:rPr>
                        <w:rFonts w:ascii="Cambria Math" w:hAnsi="Cambria Math"/>
                      </w:rPr>
                      <m:t xml:space="preserve">2</m:t>
                    </m:r>
                  </m:sup>
                </m:sSubSup>
              </m:num>
              <m:den>
                <m:sSubSup>
                  <m:e>
                    <m:d>
                      <m:dPr>
                        <m:begChr m:val="‖"/>
                        <m:endChr m:val="‖"/>
                      </m:dPr>
                      <m:e>
                        <m:sSub>
                          <m:e>
                            <m:r>
                              <w:rPr>
                                <w:rFonts w:ascii="Cambria Math" w:hAnsi="Cambria Math"/>
                              </w:rPr>
                              <m:t xml:space="preserve">d</m:t>
                            </m:r>
                          </m:e>
                          <m:sub>
                            <m:r>
                              <w:rPr>
                                <w:rFonts w:ascii="Cambria Math" w:hAnsi="Cambria Math"/>
                              </w:rPr>
                              <m:t xml:space="preserve">obs</m:t>
                            </m:r>
                          </m:sub>
                        </m:sSub>
                      </m:e>
                    </m:d>
                  </m:e>
                  <m:sub>
                    <m:r>
                      <w:rPr>
                        <w:rFonts w:ascii="Cambria Math" w:hAnsi="Cambria Math"/>
                      </w:rPr>
                      <m:t xml:space="preserve">2</m:t>
                    </m:r>
                  </m:sub>
                  <m:sup>
                    <m:r>
                      <w:rPr>
                        <w:rFonts w:ascii="Cambria Math" w:hAnsi="Cambria Math"/>
                      </w:rPr>
                      <m:t xml:space="preserve">2</m:t>
                    </m:r>
                  </m:sup>
                </m:sSubSup>
              </m:den>
            </m:f>
          </m:e>
        </m:rad>
      </m:oMath>
      <w:r>
        <w:rPr>
          <w:rFonts w:eastAsia="" w:eastAsiaTheme="minorEastAsia"/>
          <w:sz w:val="28"/>
          <w:szCs w:val="24"/>
        </w:rPr>
        <w:t>.</w:t>
      </w:r>
    </w:p>
    <w:p>
      <w:pPr>
        <w:pStyle w:val="Normal"/>
        <w:rPr>
          <w:rFonts w:eastAsia="" w:eastAsiaTheme="minorEastAsia"/>
          <w:szCs w:val="24"/>
        </w:rPr>
      </w:pPr>
      <w:r>
        <w:rPr>
          <w:rFonts w:eastAsia="" w:eastAsiaTheme="minorEastAsia"/>
          <w:szCs w:val="24"/>
        </w:rPr>
        <w:t xml:space="preserve">This cost, along with other costs (as discussed in the previous subsection), is also recorded in the </w:t>
      </w:r>
      <w:r>
        <w:rPr>
          <w:rFonts w:eastAsia="" w:eastAsiaTheme="minorEastAsia"/>
          <w:i/>
          <w:iCs/>
          <w:szCs w:val="24"/>
        </w:rPr>
        <w:t>costs.txt</w:t>
      </w:r>
      <w:r>
        <w:rPr>
          <w:rFonts w:eastAsia="" w:eastAsiaTheme="minorEastAsia"/>
          <w:szCs w:val="24"/>
        </w:rPr>
        <w:t xml:space="preserve"> file. Additional relevant information written in the log includes the solver residual and the number of minor iterations, which can help analyze the stability of the inversion process.</w:t>
      </w:r>
    </w:p>
    <w:p>
      <w:pPr>
        <w:pStyle w:val="Normal"/>
        <w:rPr>
          <w:rFonts w:eastAsia="" w:eastAsiaTheme="minorEastAsia"/>
          <w:szCs w:val="24"/>
        </w:rPr>
      </w:pPr>
      <w:r>
        <w:rPr>
          <w:rFonts w:eastAsia="" w:eastAsiaTheme="minorEastAsia"/>
          <w:szCs w:val="24"/>
        </w:rPr>
      </w:r>
    </w:p>
    <w:p>
      <w:pPr>
        <w:pStyle w:val="Normal"/>
        <w:rPr>
          <w:b/>
          <w:b/>
          <w:bCs/>
          <w:sz w:val="28"/>
          <w:szCs w:val="28"/>
        </w:rPr>
      </w:pPr>
      <w:r>
        <w:rPr>
          <w:rFonts w:eastAsia="" w:eastAsiaTheme="minorEastAsia"/>
          <w:b/>
          <w:bCs/>
          <w:sz w:val="28"/>
          <w:szCs w:val="28"/>
        </w:rPr>
        <w:t xml:space="preserve">If you have any questions or need assistance with using the code, please feel free to contact me via email: </w:t>
      </w:r>
      <w:hyperlink r:id="rId4">
        <w:r>
          <w:rPr>
            <w:rStyle w:val="InternetLink"/>
            <w:rFonts w:eastAsia="" w:eastAsiaTheme="minorEastAsia"/>
            <w:b/>
            <w:bCs/>
            <w:sz w:val="28"/>
            <w:szCs w:val="28"/>
          </w:rPr>
          <w:t>vogarko@gmail.com</w:t>
        </w:r>
      </w:hyperlink>
      <w:r>
        <w:rPr>
          <w:rFonts w:eastAsia="" w:eastAsiaTheme="minorEastAsia"/>
          <w:b/>
          <w:bCs/>
          <w:sz w:val="28"/>
          <w:szCs w:val="28"/>
        </w:rPr>
        <w:t xml:space="preserve"> (Vitaliy Ogarko)</w:t>
      </w:r>
      <w:r>
        <w:br w:type="page"/>
      </w:r>
    </w:p>
    <w:p>
      <w:pPr>
        <w:pStyle w:val="Heading1"/>
        <w:numPr>
          <w:ilvl w:val="0"/>
          <w:numId w:val="6"/>
        </w:numPr>
        <w:rPr/>
      </w:pPr>
      <w:bookmarkStart w:id="33" w:name="_Toc112344885"/>
      <w:r>
        <w:rPr/>
        <w:t>References</w:t>
      </w:r>
      <w:bookmarkEnd w:id="33"/>
    </w:p>
    <w:p>
      <w:pPr>
        <w:pStyle w:val="Normal"/>
        <w:rPr/>
      </w:pPr>
      <w:r>
        <w:rPr/>
      </w:r>
    </w:p>
    <w:p>
      <w:pPr>
        <w:pStyle w:val="Normal"/>
        <w:rPr/>
      </w:pPr>
      <w:r>
        <w:rPr/>
        <w:t>All papers listed below are using Tomofast-x for performing inversions. For convenience, we split the papers to categories corresponding to the type of constraints they use.</w:t>
      </w:r>
    </w:p>
    <w:p>
      <w:pPr>
        <w:pStyle w:val="ListParagraph"/>
        <w:numPr>
          <w:ilvl w:val="0"/>
          <w:numId w:val="7"/>
        </w:numPr>
        <w:rPr>
          <w:sz w:val="28"/>
        </w:rPr>
      </w:pPr>
      <w:r>
        <w:rPr>
          <w:sz w:val="28"/>
        </w:rPr>
        <w:t>General code summary:</w:t>
      </w:r>
    </w:p>
    <w:p>
      <w:pPr>
        <w:pStyle w:val="Normal"/>
        <w:rPr>
          <w:sz w:val="22"/>
          <w:szCs w:val="20"/>
        </w:rPr>
      </w:pPr>
      <w:r>
        <w:rPr>
          <w:sz w:val="22"/>
        </w:rPr>
        <w:t xml:space="preserve">[1] V. Ogarko, K. Frankcombe, T. Liu, J. Giraud, R. Martin, and M. Jessell (2024), "Tomofast-x 2.0: an open-source parallel code for inversion of potential field data with topography using wavelet compression", Geosci. Model Dev., 17, 2325–2345, </w:t>
      </w:r>
      <w:hyperlink r:id="rId5">
        <w:r>
          <w:rPr>
            <w:rStyle w:val="InternetLink"/>
            <w:sz w:val="22"/>
          </w:rPr>
          <w:t>https://doi.org/10.5194/gmd-17-2325-2024</w:t>
        </w:r>
      </w:hyperlink>
      <w:r>
        <w:rPr>
          <w:sz w:val="22"/>
        </w:rPr>
        <w:t xml:space="preserve"> </w:t>
      </w:r>
    </w:p>
    <w:p>
      <w:pPr>
        <w:pStyle w:val="Normal"/>
        <w:rPr>
          <w:rStyle w:val="InternetLink"/>
          <w:sz w:val="22"/>
          <w:szCs w:val="20"/>
        </w:rPr>
      </w:pPr>
      <w:r>
        <w:rPr>
          <w:sz w:val="22"/>
          <w:szCs w:val="20"/>
        </w:rPr>
        <w:t xml:space="preserve">[2] J. Giraud, V. Ogarko, R. Martin, M. Lindsay, M. Jessell (2021): Structural, petrophysical and geological constraints in potential field inversion using the Tomofast-x open-source code, Geoscientific Model Development Discussions, </w:t>
      </w:r>
      <w:hyperlink r:id="rId6">
        <w:r>
          <w:rPr>
            <w:rStyle w:val="InternetLink"/>
            <w:sz w:val="22"/>
            <w:szCs w:val="20"/>
          </w:rPr>
          <w:t>https://doi.org/10.5194/gmd-2021-14</w:t>
        </w:r>
      </w:hyperlink>
    </w:p>
    <w:p>
      <w:pPr>
        <w:pStyle w:val="ListParagraph"/>
        <w:numPr>
          <w:ilvl w:val="0"/>
          <w:numId w:val="7"/>
        </w:numPr>
        <w:rPr>
          <w:sz w:val="28"/>
        </w:rPr>
      </w:pPr>
      <w:r>
        <w:rPr>
          <w:sz w:val="28"/>
        </w:rPr>
        <w:t>Disjoint interval bound constraints:</w:t>
      </w:r>
    </w:p>
    <w:p>
      <w:pPr>
        <w:pStyle w:val="Normal"/>
        <w:rPr>
          <w:rStyle w:val="InternetLink"/>
          <w:sz w:val="22"/>
          <w:szCs w:val="20"/>
        </w:rPr>
      </w:pPr>
      <w:r>
        <w:rPr>
          <w:sz w:val="22"/>
          <w:szCs w:val="20"/>
        </w:rPr>
        <w:t xml:space="preserve">[3] V. Ogarko, J. Giraud, R. Martin, and M. Jessell (2021), Disjoint interval bound constraints using the alternating direction method of multipliers for geologically constrained inversion: Application to gravity data, GEOPHYSICS 86: G1-G11, </w:t>
      </w:r>
      <w:hyperlink r:id="rId7">
        <w:r>
          <w:rPr>
            <w:rStyle w:val="InternetLink"/>
            <w:sz w:val="22"/>
            <w:szCs w:val="20"/>
          </w:rPr>
          <w:t>https://doi.org/10.1190/geo2019-0633.1</w:t>
        </w:r>
      </w:hyperlink>
    </w:p>
    <w:p>
      <w:pPr>
        <w:pStyle w:val="ListParagraph"/>
        <w:numPr>
          <w:ilvl w:val="0"/>
          <w:numId w:val="7"/>
        </w:numPr>
        <w:rPr>
          <w:sz w:val="28"/>
        </w:rPr>
      </w:pPr>
      <w:r>
        <w:rPr>
          <w:sz w:val="28"/>
        </w:rPr>
        <w:t>Smart-gradient constraints:</w:t>
      </w:r>
    </w:p>
    <w:p>
      <w:pPr>
        <w:pStyle w:val="Normal"/>
        <w:rPr>
          <w:sz w:val="22"/>
          <w:szCs w:val="20"/>
        </w:rPr>
      </w:pPr>
      <w:r>
        <w:rPr>
          <w:sz w:val="22"/>
          <w:szCs w:val="20"/>
        </w:rPr>
        <w:t xml:space="preserve">[4] J. Giraud, M. Lindsay, M. Jessell, and V. Ogarko (2020), Towards plausible lithological classification from geophysical inversion: honouring geological principles in subsurface imaging, Solid Earth, 11: 419–436, </w:t>
      </w:r>
      <w:hyperlink r:id="rId8">
        <w:r>
          <w:rPr>
            <w:rStyle w:val="InternetLink"/>
            <w:sz w:val="22"/>
            <w:szCs w:val="20"/>
          </w:rPr>
          <w:t>https://doi.org/10.5194/se-11-419-2020</w:t>
        </w:r>
      </w:hyperlink>
      <w:r>
        <w:rPr>
          <w:sz w:val="22"/>
          <w:szCs w:val="20"/>
        </w:rPr>
        <w:t xml:space="preserve"> </w:t>
      </w:r>
    </w:p>
    <w:p>
      <w:pPr>
        <w:pStyle w:val="Normal"/>
        <w:rPr>
          <w:sz w:val="22"/>
          <w:szCs w:val="20"/>
        </w:rPr>
      </w:pPr>
      <w:r>
        <w:rPr>
          <w:sz w:val="22"/>
          <w:szCs w:val="20"/>
        </w:rPr>
        <w:t xml:space="preserve">[5] J. Giraud, M. Lindsay, V. Ogarko, M. Jessell, R. Martin, and E. Pakyuz-Charrier (2019), Integration of geoscientific uncertainty into geophysical inversion by means of local gradient regularization, Solid Earth, 10: 193–210, </w:t>
      </w:r>
      <w:hyperlink r:id="rId9">
        <w:r>
          <w:rPr>
            <w:rStyle w:val="InternetLink"/>
            <w:sz w:val="22"/>
            <w:szCs w:val="20"/>
          </w:rPr>
          <w:t>https://doi.org/10.5194/se-10-193-2019</w:t>
        </w:r>
      </w:hyperlink>
      <w:r>
        <w:rPr>
          <w:sz w:val="22"/>
          <w:szCs w:val="20"/>
        </w:rPr>
        <w:t xml:space="preserve"> </w:t>
      </w:r>
    </w:p>
    <w:p>
      <w:pPr>
        <w:pStyle w:val="ListParagraph"/>
        <w:numPr>
          <w:ilvl w:val="0"/>
          <w:numId w:val="7"/>
        </w:numPr>
        <w:rPr>
          <w:rStyle w:val="InternetLink"/>
          <w:color w:val="000000" w:themeColor="text1"/>
          <w:sz w:val="28"/>
          <w:szCs w:val="20"/>
          <w:u w:val="none"/>
        </w:rPr>
      </w:pPr>
      <w:r>
        <w:rPr>
          <w:rStyle w:val="InternetLink"/>
          <w:color w:val="000000" w:themeColor="text1"/>
          <w:sz w:val="28"/>
          <w:szCs w:val="20"/>
          <w:u w:val="none"/>
        </w:rPr>
        <w:t>Cross-Gradient constraints:</w:t>
      </w:r>
    </w:p>
    <w:p>
      <w:pPr>
        <w:pStyle w:val="Normal"/>
        <w:rPr>
          <w:color w:val="0563C1" w:themeColor="hyperlink"/>
          <w:sz w:val="22"/>
          <w:szCs w:val="20"/>
          <w:u w:val="single"/>
        </w:rPr>
      </w:pPr>
      <w:r>
        <w:rPr>
          <w:sz w:val="22"/>
          <w:shd w:fill="FFFFFF" w:val="clear"/>
        </w:rPr>
        <w:t>[6] R. Martin, J. Giraud, V. Ogarko, S. Chevrot, S. Beller, P. Gégout, M. Jessell (2021), Three-dimensional gravity anomaly data inversion in the Pyrenees using compressional seismic velocity model as structural similarity constraints,</w:t>
      </w:r>
      <w:r>
        <w:rPr>
          <w:sz w:val="22"/>
        </w:rPr>
        <w:t xml:space="preserve"> Geophysical Journal International 225(2): </w:t>
      </w:r>
      <w:r>
        <w:rPr>
          <w:sz w:val="22"/>
          <w:shd w:fill="FFFFFF" w:val="clear"/>
        </w:rPr>
        <w:t>1063–1085,</w:t>
      </w:r>
      <w:r>
        <w:rPr>
          <w:sz w:val="22"/>
        </w:rPr>
        <w:t xml:space="preserve"> </w:t>
      </w:r>
      <w:hyperlink r:id="rId10">
        <w:r>
          <w:rPr>
            <w:rStyle w:val="InternetLink"/>
            <w:sz w:val="22"/>
          </w:rPr>
          <w:t>https://doi.org/10.1093/gji/ggaa414</w:t>
        </w:r>
      </w:hyperlink>
    </w:p>
    <w:p>
      <w:pPr>
        <w:pStyle w:val="ListParagraph"/>
        <w:numPr>
          <w:ilvl w:val="0"/>
          <w:numId w:val="7"/>
        </w:numPr>
        <w:rPr>
          <w:sz w:val="28"/>
        </w:rPr>
      </w:pPr>
      <w:r>
        <w:rPr>
          <w:sz w:val="28"/>
        </w:rPr>
        <w:t>Clustering constraints:</w:t>
      </w:r>
    </w:p>
    <w:p>
      <w:pPr>
        <w:pStyle w:val="Normal"/>
        <w:rPr>
          <w:rStyle w:val="InternetLink"/>
          <w:sz w:val="22"/>
          <w:szCs w:val="20"/>
        </w:rPr>
      </w:pPr>
      <w:r>
        <w:rPr>
          <w:sz w:val="22"/>
          <w:szCs w:val="20"/>
        </w:rPr>
        <w:t xml:space="preserve">[7] J. Giraud, V. Ogarko, M. Lindsay, E. Pakyuz-Charrier, M. Jessell, R. Martin (2019), Sensitivity of constrained joint inversions to geological and petrophysical input data uncertainties with posterior geological analysis, Geophysical Journal International, 218(1): 666–688, </w:t>
      </w:r>
      <w:hyperlink r:id="rId11">
        <w:r>
          <w:rPr>
            <w:rStyle w:val="InternetLink"/>
            <w:sz w:val="22"/>
            <w:szCs w:val="20"/>
          </w:rPr>
          <w:t>https://doi.org/10.1093/gji/ggz152</w:t>
        </w:r>
      </w:hyperlink>
    </w:p>
    <w:p>
      <w:pPr>
        <w:pStyle w:val="Normal"/>
        <w:rPr>
          <w:rStyle w:val="InternetLink"/>
          <w:sz w:val="22"/>
          <w:szCs w:val="20"/>
        </w:rPr>
      </w:pPr>
      <w:r>
        <w:rPr>
          <w:sz w:val="22"/>
          <w:szCs w:val="20"/>
        </w:rPr>
      </w:r>
    </w:p>
    <w:p>
      <w:pPr>
        <w:pStyle w:val="ListParagraph"/>
        <w:numPr>
          <w:ilvl w:val="0"/>
          <w:numId w:val="7"/>
        </w:numPr>
        <w:rPr>
          <w:sz w:val="28"/>
        </w:rPr>
      </w:pPr>
      <w:r>
        <w:rPr>
          <w:sz w:val="28"/>
        </w:rPr>
        <w:t>L</w:t>
      </w:r>
      <w:r>
        <w:rPr>
          <w:sz w:val="28"/>
          <w:vertAlign w:val="subscript"/>
        </w:rPr>
        <w:t>p</w:t>
      </w:r>
      <w:r>
        <w:rPr>
          <w:sz w:val="28"/>
        </w:rPr>
        <w:t xml:space="preserve"> norm-based model damping:</w:t>
      </w:r>
    </w:p>
    <w:p>
      <w:pPr>
        <w:pStyle w:val="Normal"/>
        <w:spacing w:before="0" w:after="160"/>
        <w:rPr>
          <w:sz w:val="22"/>
          <w:szCs w:val="20"/>
        </w:rPr>
      </w:pPr>
      <w:r>
        <w:rPr>
          <w:sz w:val="22"/>
          <w:szCs w:val="20"/>
        </w:rPr>
        <w:t xml:space="preserve">[8] R. Martin, V. Ogarko, D. Komatitsch, M. Jessell (2018), Parallel three-dimensional electrical capacitance data imaging using a nonlinear inversion algorithm and Lp norm-based model regularization, Measurehment, 128: 428-445, </w:t>
      </w:r>
      <w:hyperlink r:id="rId12">
        <w:r>
          <w:rPr>
            <w:rStyle w:val="InternetLink"/>
            <w:sz w:val="22"/>
            <w:szCs w:val="20"/>
          </w:rPr>
          <w:t>https://doi.org/10.1016/j.measurement.2018.05.099</w:t>
        </w:r>
      </w:hyperlink>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listo MT">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rPr>
        <w:b/>
      </w:r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59c8"/>
    <w:pPr>
      <w:widowControl/>
      <w:suppressAutoHyphens w:val="true"/>
      <w:bidi w:val="0"/>
      <w:spacing w:lineRule="auto" w:line="288" w:before="0" w:after="160"/>
      <w:jc w:val="both"/>
    </w:pPr>
    <w:rPr>
      <w:rFonts w:ascii="Calibri" w:hAnsi="Calibri" w:eastAsia="Calibri" w:cs="" w:asciiTheme="minorHAnsi" w:cstheme="minorBidi" w:eastAsiaTheme="minorHAnsi" w:hAnsiTheme="minorHAnsi"/>
      <w:color w:val="auto"/>
      <w:kern w:val="0"/>
      <w:sz w:val="24"/>
      <w:szCs w:val="22"/>
      <w:lang w:val="en-AU" w:eastAsia="en-US" w:bidi="ar-SA"/>
    </w:rPr>
  </w:style>
  <w:style w:type="paragraph" w:styleId="Heading1">
    <w:name w:val="Heading 1"/>
    <w:basedOn w:val="Normal"/>
    <w:next w:val="Normal"/>
    <w:link w:val="Heading1Char"/>
    <w:uiPriority w:val="9"/>
    <w:qFormat/>
    <w:rsid w:val="00846fcd"/>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40"/>
      <w:szCs w:val="32"/>
    </w:rPr>
  </w:style>
  <w:style w:type="paragraph" w:styleId="Heading2">
    <w:name w:val="Heading 2"/>
    <w:basedOn w:val="Normal"/>
    <w:next w:val="Normal"/>
    <w:link w:val="Heading2Char"/>
    <w:uiPriority w:val="9"/>
    <w:unhideWhenUsed/>
    <w:qFormat/>
    <w:rsid w:val="004b11a2"/>
    <w:pPr>
      <w:keepNext w:val="true"/>
      <w:keepLines/>
      <w:numPr>
        <w:ilvl w:val="1"/>
        <w:numId w:val="1"/>
      </w:numPr>
      <w:spacing w:before="40" w:after="120"/>
      <w:outlineLvl w:val="1"/>
    </w:pPr>
    <w:rPr>
      <w:rFonts w:ascii="Calibri Light" w:hAnsi="Calibri Light" w:eastAsia="" w:cs="" w:asciiTheme="majorHAnsi" w:cstheme="majorBidi" w:eastAsiaTheme="majorEastAsia" w:hAnsiTheme="majorHAnsi"/>
      <w:color w:val="2E74B5" w:themeColor="accent1" w:themeShade="bf"/>
      <w:sz w:val="28"/>
      <w:szCs w:val="26"/>
    </w:rPr>
  </w:style>
  <w:style w:type="paragraph" w:styleId="Heading3">
    <w:name w:val="Heading 3"/>
    <w:basedOn w:val="Normal"/>
    <w:next w:val="Normal"/>
    <w:link w:val="Heading3Char"/>
    <w:uiPriority w:val="9"/>
    <w:unhideWhenUsed/>
    <w:qFormat/>
    <w:rsid w:val="005e5701"/>
    <w:pPr>
      <w:keepNext w:val="true"/>
      <w:keepLines/>
      <w:numPr>
        <w:ilvl w:val="2"/>
        <w:numId w:val="1"/>
      </w:numPr>
      <w:spacing w:before="120" w:after="120"/>
      <w:outlineLvl w:val="2"/>
    </w:pPr>
    <w:rPr>
      <w:rFonts w:ascii="Calibri Light" w:hAnsi="Calibri Light" w:eastAsia="" w:cs="" w:asciiTheme="majorHAnsi" w:cstheme="majorBidi" w:eastAsiaTheme="majorEastAsia" w:hAnsiTheme="majorHAnsi"/>
      <w:color w:val="1F4D78" w:themeColor="accent1" w:themeShade="7f"/>
      <w:szCs w:val="24"/>
    </w:rPr>
  </w:style>
  <w:style w:type="paragraph" w:styleId="Heading4">
    <w:name w:val="Heading 4"/>
    <w:basedOn w:val="Normal"/>
    <w:next w:val="Normal"/>
    <w:link w:val="Heading4Char"/>
    <w:uiPriority w:val="9"/>
    <w:semiHidden/>
    <w:unhideWhenUsed/>
    <w:qFormat/>
    <w:rsid w:val="00d729d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d729d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d729d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d729d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d729d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d729d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817d7d"/>
    <w:rPr>
      <w:color w:val="0563C1" w:themeColor="hyperlink"/>
      <w:u w:val="single"/>
    </w:rPr>
  </w:style>
  <w:style w:type="character" w:styleId="PlaceholderText">
    <w:name w:val="Placeholder Text"/>
    <w:basedOn w:val="DefaultParagraphFont"/>
    <w:uiPriority w:val="99"/>
    <w:semiHidden/>
    <w:qFormat/>
    <w:rsid w:val="002b29e2"/>
    <w:rPr>
      <w:color w:val="808080"/>
    </w:rPr>
  </w:style>
  <w:style w:type="character" w:styleId="HeaderChar" w:customStyle="1">
    <w:name w:val="Header Char"/>
    <w:basedOn w:val="DefaultParagraphFont"/>
    <w:link w:val="Header"/>
    <w:uiPriority w:val="99"/>
    <w:qFormat/>
    <w:rsid w:val="00f008a0"/>
    <w:rPr/>
  </w:style>
  <w:style w:type="character" w:styleId="FooterChar" w:customStyle="1">
    <w:name w:val="Footer Char"/>
    <w:basedOn w:val="DefaultParagraphFont"/>
    <w:link w:val="Footer"/>
    <w:uiPriority w:val="99"/>
    <w:qFormat/>
    <w:rsid w:val="00f008a0"/>
    <w:rPr/>
  </w:style>
  <w:style w:type="character" w:styleId="Heading1Char" w:customStyle="1">
    <w:name w:val="Heading 1 Char"/>
    <w:basedOn w:val="DefaultParagraphFont"/>
    <w:link w:val="Heading1"/>
    <w:uiPriority w:val="9"/>
    <w:qFormat/>
    <w:rsid w:val="00846fcd"/>
    <w:rPr>
      <w:rFonts w:ascii="Calibri Light" w:hAnsi="Calibri Light" w:eastAsia="" w:cs="" w:asciiTheme="majorHAnsi" w:cstheme="majorBidi" w:eastAsiaTheme="majorEastAsia" w:hAnsiTheme="majorHAnsi"/>
      <w:color w:val="2E74B5" w:themeColor="accent1" w:themeShade="bf"/>
      <w:sz w:val="40"/>
      <w:szCs w:val="32"/>
    </w:rPr>
  </w:style>
  <w:style w:type="character" w:styleId="Heading2Char" w:customStyle="1">
    <w:name w:val="Heading 2 Char"/>
    <w:basedOn w:val="DefaultParagraphFont"/>
    <w:link w:val="Heading2"/>
    <w:uiPriority w:val="9"/>
    <w:qFormat/>
    <w:rsid w:val="004b11a2"/>
    <w:rPr>
      <w:rFonts w:ascii="Calibri Light" w:hAnsi="Calibri Light" w:eastAsia="" w:cs="" w:asciiTheme="majorHAnsi" w:cstheme="majorBidi" w:eastAsiaTheme="majorEastAsia" w:hAnsiTheme="majorHAnsi"/>
      <w:color w:val="2E74B5" w:themeColor="accent1" w:themeShade="bf"/>
      <w:sz w:val="28"/>
      <w:szCs w:val="26"/>
    </w:rPr>
  </w:style>
  <w:style w:type="character" w:styleId="HTMLPreformattedChar" w:customStyle="1">
    <w:name w:val="HTML Preformatted Char"/>
    <w:basedOn w:val="DefaultParagraphFont"/>
    <w:link w:val="HTMLPreformatted"/>
    <w:uiPriority w:val="99"/>
    <w:semiHidden/>
    <w:qFormat/>
    <w:rsid w:val="00953fe7"/>
    <w:rPr>
      <w:rFonts w:ascii="Courier New" w:hAnsi="Courier New" w:eastAsia="Times New Roman" w:cs="Courier New"/>
      <w:sz w:val="20"/>
      <w:szCs w:val="20"/>
      <w:lang w:eastAsia="en-AU"/>
    </w:rPr>
  </w:style>
  <w:style w:type="character" w:styleId="Plk" w:customStyle="1">
    <w:name w:val="pl-k"/>
    <w:basedOn w:val="DefaultParagraphFont"/>
    <w:qFormat/>
    <w:rsid w:val="00953fe7"/>
    <w:rPr/>
  </w:style>
  <w:style w:type="character" w:styleId="Plsmi" w:customStyle="1">
    <w:name w:val="pl-smi"/>
    <w:basedOn w:val="DefaultParagraphFont"/>
    <w:qFormat/>
    <w:rsid w:val="007b674d"/>
    <w:rPr/>
  </w:style>
  <w:style w:type="character" w:styleId="Heading3Char" w:customStyle="1">
    <w:name w:val="Heading 3 Char"/>
    <w:basedOn w:val="DefaultParagraphFont"/>
    <w:link w:val="Heading3"/>
    <w:uiPriority w:val="9"/>
    <w:qFormat/>
    <w:rsid w:val="005e5701"/>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basedOn w:val="DefaultParagraphFont"/>
    <w:uiPriority w:val="20"/>
    <w:qFormat/>
    <w:rsid w:val="00ee7bb5"/>
    <w:rPr>
      <w:i/>
      <w:iCs/>
    </w:rPr>
  </w:style>
  <w:style w:type="character" w:styleId="Heading4Char" w:customStyle="1">
    <w:name w:val="Heading 4 Char"/>
    <w:basedOn w:val="DefaultParagraphFont"/>
    <w:link w:val="Heading4"/>
    <w:uiPriority w:val="9"/>
    <w:semiHidden/>
    <w:qFormat/>
    <w:rsid w:val="00d729d6"/>
    <w:rPr>
      <w:rFonts w:ascii="Calibri Light" w:hAnsi="Calibri Light" w:eastAsia="" w:cs="" w:asciiTheme="majorHAnsi" w:cstheme="majorBidi" w:eastAsiaTheme="majorEastAsia" w:hAnsiTheme="majorHAnsi"/>
      <w:i/>
      <w:iCs/>
      <w:color w:val="2E74B5" w:themeColor="accent1" w:themeShade="bf"/>
      <w:sz w:val="24"/>
    </w:rPr>
  </w:style>
  <w:style w:type="character" w:styleId="Heading5Char" w:customStyle="1">
    <w:name w:val="Heading 5 Char"/>
    <w:basedOn w:val="DefaultParagraphFont"/>
    <w:link w:val="Heading5"/>
    <w:uiPriority w:val="9"/>
    <w:semiHidden/>
    <w:qFormat/>
    <w:rsid w:val="00d729d6"/>
    <w:rPr>
      <w:rFonts w:ascii="Calibri Light" w:hAnsi="Calibri Light" w:eastAsia="" w:cs="" w:asciiTheme="majorHAnsi" w:cstheme="majorBidi" w:eastAsiaTheme="majorEastAsia" w:hAnsiTheme="majorHAnsi"/>
      <w:color w:val="2E74B5" w:themeColor="accent1" w:themeShade="bf"/>
      <w:sz w:val="24"/>
    </w:rPr>
  </w:style>
  <w:style w:type="character" w:styleId="Heading6Char" w:customStyle="1">
    <w:name w:val="Heading 6 Char"/>
    <w:basedOn w:val="DefaultParagraphFont"/>
    <w:link w:val="Heading6"/>
    <w:uiPriority w:val="9"/>
    <w:semiHidden/>
    <w:qFormat/>
    <w:rsid w:val="00d729d6"/>
    <w:rPr>
      <w:rFonts w:ascii="Calibri Light" w:hAnsi="Calibri Light" w:eastAsia="" w:cs="" w:asciiTheme="majorHAnsi" w:cstheme="majorBidi" w:eastAsiaTheme="majorEastAsia" w:hAnsiTheme="majorHAnsi"/>
      <w:color w:val="1F4D78" w:themeColor="accent1" w:themeShade="7f"/>
      <w:sz w:val="24"/>
    </w:rPr>
  </w:style>
  <w:style w:type="character" w:styleId="Heading7Char" w:customStyle="1">
    <w:name w:val="Heading 7 Char"/>
    <w:basedOn w:val="DefaultParagraphFont"/>
    <w:link w:val="Heading7"/>
    <w:uiPriority w:val="9"/>
    <w:semiHidden/>
    <w:qFormat/>
    <w:rsid w:val="00d729d6"/>
    <w:rPr>
      <w:rFonts w:ascii="Calibri Light" w:hAnsi="Calibri Light" w:eastAsia="" w:cs="" w:asciiTheme="majorHAnsi" w:cstheme="majorBidi" w:eastAsiaTheme="majorEastAsia" w:hAnsiTheme="majorHAnsi"/>
      <w:i/>
      <w:iCs/>
      <w:color w:val="1F4D78" w:themeColor="accent1" w:themeShade="7f"/>
      <w:sz w:val="24"/>
    </w:rPr>
  </w:style>
  <w:style w:type="character" w:styleId="Heading8Char" w:customStyle="1">
    <w:name w:val="Heading 8 Char"/>
    <w:basedOn w:val="DefaultParagraphFont"/>
    <w:link w:val="Heading8"/>
    <w:uiPriority w:val="9"/>
    <w:semiHidden/>
    <w:qFormat/>
    <w:rsid w:val="00d729d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d729d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d81970"/>
    <w:rPr>
      <w:sz w:val="16"/>
      <w:szCs w:val="16"/>
    </w:rPr>
  </w:style>
  <w:style w:type="character" w:styleId="CommentTextChar" w:customStyle="1">
    <w:name w:val="Comment Text Char"/>
    <w:basedOn w:val="DefaultParagraphFont"/>
    <w:link w:val="CommentText"/>
    <w:uiPriority w:val="99"/>
    <w:semiHidden/>
    <w:qFormat/>
    <w:rsid w:val="00d81970"/>
    <w:rPr>
      <w:rFonts w:ascii="Calibri" w:hAnsi="Calibri"/>
      <w:sz w:val="20"/>
      <w:szCs w:val="20"/>
    </w:rPr>
  </w:style>
  <w:style w:type="character" w:styleId="CommentSubjectChar" w:customStyle="1">
    <w:name w:val="Comment Subject Char"/>
    <w:basedOn w:val="CommentTextChar"/>
    <w:link w:val="CommentSubject"/>
    <w:uiPriority w:val="99"/>
    <w:semiHidden/>
    <w:qFormat/>
    <w:rsid w:val="00d81970"/>
    <w:rPr>
      <w:rFonts w:ascii="Calibri" w:hAnsi="Calibri"/>
      <w:b/>
      <w:bCs/>
      <w:sz w:val="20"/>
      <w:szCs w:val="20"/>
    </w:rPr>
  </w:style>
  <w:style w:type="character" w:styleId="UnresolvedMention1" w:customStyle="1">
    <w:name w:val="Unresolved Mention1"/>
    <w:basedOn w:val="DefaultParagraphFont"/>
    <w:uiPriority w:val="99"/>
    <w:semiHidden/>
    <w:unhideWhenUsed/>
    <w:qFormat/>
    <w:rsid w:val="00b32490"/>
    <w:rPr>
      <w:color w:val="605E5C"/>
      <w:shd w:fill="E1DFDD" w:val="clear"/>
    </w:rPr>
  </w:style>
  <w:style w:type="character" w:styleId="VisitedInternetLink">
    <w:name w:val="FollowedHyperlink"/>
    <w:basedOn w:val="DefaultParagraphFont"/>
    <w:uiPriority w:val="99"/>
    <w:semiHidden/>
    <w:unhideWhenUsed/>
    <w:rsid w:val="00b32490"/>
    <w:rPr>
      <w:color w:val="954F72" w:themeColor="followedHyperlink"/>
      <w:u w:val="single"/>
    </w:rPr>
  </w:style>
  <w:style w:type="character" w:styleId="BalloonTextChar" w:customStyle="1">
    <w:name w:val="Balloon Text Char"/>
    <w:basedOn w:val="DefaultParagraphFont"/>
    <w:link w:val="BalloonText"/>
    <w:uiPriority w:val="99"/>
    <w:semiHidden/>
    <w:qFormat/>
    <w:rsid w:val="005a6fe1"/>
    <w:rPr>
      <w:rFonts w:ascii="Segoe UI" w:hAnsi="Segoe UI" w:cs="Segoe UI"/>
      <w:sz w:val="18"/>
      <w:szCs w:val="18"/>
    </w:rPr>
  </w:style>
  <w:style w:type="character" w:styleId="UnresolvedMention">
    <w:name w:val="Unresolved Mention"/>
    <w:basedOn w:val="DefaultParagraphFont"/>
    <w:uiPriority w:val="99"/>
    <w:semiHidden/>
    <w:unhideWhenUsed/>
    <w:qFormat/>
    <w:rsid w:val="003f2c62"/>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33c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08a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008a0"/>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846fcd"/>
    <w:pPr>
      <w:numPr>
        <w:ilvl w:val="0"/>
        <w:numId w:val="0"/>
      </w:numPr>
    </w:pPr>
    <w:rPr>
      <w:lang w:val="en-US"/>
    </w:rPr>
  </w:style>
  <w:style w:type="paragraph" w:styleId="Contents1">
    <w:name w:val="TOC 1"/>
    <w:basedOn w:val="Normal"/>
    <w:next w:val="Normal"/>
    <w:autoRedefine/>
    <w:uiPriority w:val="39"/>
    <w:unhideWhenUsed/>
    <w:rsid w:val="00fc27f9"/>
    <w:pPr>
      <w:spacing w:before="0" w:after="100"/>
    </w:pPr>
    <w:rPr/>
  </w:style>
  <w:style w:type="paragraph" w:styleId="Contents2">
    <w:name w:val="TOC 2"/>
    <w:basedOn w:val="Normal"/>
    <w:next w:val="Normal"/>
    <w:autoRedefine/>
    <w:uiPriority w:val="39"/>
    <w:unhideWhenUsed/>
    <w:rsid w:val="00fc27f9"/>
    <w:pPr>
      <w:spacing w:before="0" w:after="100"/>
      <w:ind w:left="220" w:hanging="0"/>
    </w:pPr>
    <w:rPr/>
  </w:style>
  <w:style w:type="paragraph" w:styleId="NormalWeb">
    <w:name w:val="Normal (Web)"/>
    <w:basedOn w:val="Normal"/>
    <w:uiPriority w:val="99"/>
    <w:semiHidden/>
    <w:unhideWhenUsed/>
    <w:qFormat/>
    <w:rsid w:val="00953fe7"/>
    <w:pPr>
      <w:spacing w:lineRule="auto" w:line="240" w:beforeAutospacing="1" w:afterAutospacing="1"/>
    </w:pPr>
    <w:rPr>
      <w:rFonts w:ascii="Times New Roman" w:hAnsi="Times New Roman" w:eastAsia="Times New Roman" w:cs="Times New Roman"/>
      <w:szCs w:val="24"/>
      <w:lang w:eastAsia="en-AU"/>
    </w:rPr>
  </w:style>
  <w:style w:type="paragraph" w:styleId="HTMLPreformatted">
    <w:name w:val="HTML Preformatted"/>
    <w:basedOn w:val="Normal"/>
    <w:link w:val="HTMLPreformattedChar"/>
    <w:uiPriority w:val="99"/>
    <w:semiHidden/>
    <w:unhideWhenUsed/>
    <w:qFormat/>
    <w:rsid w:val="00953fe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Contents3">
    <w:name w:val="TOC 3"/>
    <w:basedOn w:val="Normal"/>
    <w:next w:val="Normal"/>
    <w:autoRedefine/>
    <w:uiPriority w:val="39"/>
    <w:unhideWhenUsed/>
    <w:rsid w:val="00ec10ba"/>
    <w:pPr>
      <w:spacing w:before="0" w:after="100"/>
      <w:ind w:left="480" w:hanging="0"/>
    </w:pPr>
    <w:rPr/>
  </w:style>
  <w:style w:type="paragraph" w:styleId="Annotationtext">
    <w:name w:val="annotation text"/>
    <w:basedOn w:val="Normal"/>
    <w:link w:val="CommentTextChar"/>
    <w:uiPriority w:val="99"/>
    <w:semiHidden/>
    <w:unhideWhenUsed/>
    <w:qFormat/>
    <w:rsid w:val="00d8197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81970"/>
    <w:pPr/>
    <w:rPr>
      <w:b/>
      <w:bCs/>
    </w:rPr>
  </w:style>
  <w:style w:type="paragraph" w:styleId="Revision">
    <w:name w:val="Revision"/>
    <w:uiPriority w:val="99"/>
    <w:semiHidden/>
    <w:qFormat/>
    <w:rsid w:val="005a6fe1"/>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AU" w:eastAsia="en-US" w:bidi="ar-SA"/>
    </w:rPr>
  </w:style>
  <w:style w:type="paragraph" w:styleId="BalloonText">
    <w:name w:val="Balloon Text"/>
    <w:basedOn w:val="Normal"/>
    <w:link w:val="BalloonTextChar"/>
    <w:uiPriority w:val="99"/>
    <w:semiHidden/>
    <w:unhideWhenUsed/>
    <w:qFormat/>
    <w:rsid w:val="005a6fe1"/>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OMOFAST/Tomofast-x" TargetMode="External"/><Relationship Id="rId3" Type="http://schemas.openxmlformats.org/officeDocument/2006/relationships/image" Target="media/image1.png"/><Relationship Id="rId4" Type="http://schemas.openxmlformats.org/officeDocument/2006/relationships/hyperlink" Target="mailto:vogarko@gmail.com" TargetMode="External"/><Relationship Id="rId5" Type="http://schemas.openxmlformats.org/officeDocument/2006/relationships/hyperlink" Target="https://doi.org/10.5194/gmd-17-2325-2024" TargetMode="External"/><Relationship Id="rId6" Type="http://schemas.openxmlformats.org/officeDocument/2006/relationships/hyperlink" Target="https://doi.org/10.5194/gmd-2021-14" TargetMode="External"/><Relationship Id="rId7" Type="http://schemas.openxmlformats.org/officeDocument/2006/relationships/hyperlink" Target="https://doi.org/10.1190/geo2019-0633.1" TargetMode="External"/><Relationship Id="rId8" Type="http://schemas.openxmlformats.org/officeDocument/2006/relationships/hyperlink" Target="https://doi.org/10.5194/se-11-419-2020" TargetMode="External"/><Relationship Id="rId9" Type="http://schemas.openxmlformats.org/officeDocument/2006/relationships/hyperlink" Target="https://doi.org/10.5194/se-10-193-2019" TargetMode="External"/><Relationship Id="rId10" Type="http://schemas.openxmlformats.org/officeDocument/2006/relationships/hyperlink" Target="https://doi.org/10.1093/gji/ggaa414" TargetMode="External"/><Relationship Id="rId11" Type="http://schemas.openxmlformats.org/officeDocument/2006/relationships/hyperlink" Target="https://doi.org/10.1093/gji/ggz152" TargetMode="External"/><Relationship Id="rId12" Type="http://schemas.openxmlformats.org/officeDocument/2006/relationships/hyperlink" Target="https://doi.org/10.1016/j.measurement.2018.05.099"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0F52A-E8E5-4D92-84F7-EE3D20AC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Application>LibreOffice/6.4.7.2$Linux_X86_64 LibreOffice_project/40$Build-2</Application>
  <Pages>19</Pages>
  <Words>3949</Words>
  <Characters>22323</Characters>
  <CharactersWithSpaces>26010</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2022-05-24T10:27:00Z</dcterms:created>
  <dc:creator>Vitaliy Ogarko</dc:creator>
  <dc:description/>
  <dc:language>en-US</dc:language>
  <cp:lastModifiedBy/>
  <cp:lastPrinted>2022-05-24T11:42:00Z</cp:lastPrinted>
  <dcterms:modified xsi:type="dcterms:W3CDTF">2025-01-30T00:40:16Z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