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キャリアビジョンと時間軸（2年・5年・10年の設計）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資産運用領域で、将来的に日本株の長期アクティブ運用を担うファンドマネージャーを目指している。最終的に実現したい状態は、個人として利益を上げるだけでなく、自分の知見や分析をチームに共有・展開することで、チーム全体の運用パフォーマンスを底上げできる人材になることだ。10年後の目標としては、長期日本株アクティブで10億円規模の運用責任を任されることを一つの目安として置く。成功の指標は「個人の成果」よりも、知見共有と再現可能な意思決定プロセスを通じてチーム全体の成果を上げられたか（チーム成果）を最重要とする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年目までの段階では、まず社内（上司・ファンドマネージャー）に対して、出した分析結果を論理的に説明し、意思決定に使える形で示すことを徹底する。単なる分析に留めず、相手が「次の一手」を打ちやすいインサイトを提供できる状態を目指す。具体的な成果物としては、①テーマレポート（市場構造・競争環境・リスク/成長要因の整理）と、②ポートフォリオ提案メモ（配分案、代替案、リスク制約を踏まえた提案）を中心に価値を出す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年目には、日本株の中でも「AIおよび関連ソフトウェア」領域を担当し、テーマ内の配分や個別株の選定・比率提案を任される状態を目指す。立場がリサーチであっても、ファンドマネージャーであっても、狭い担当領域で深い知見を持ち、シニアファンドマネージャーに対して配分提案ができる役割を担いたい。加えて、業務の構造化・効率化によって生まれた時間を、新しい領域の探索や仮説検証に再投資し、継続的に価値を増幅させる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年目には、価値を担保した成長（長期の成長性）に重心を置いた運用スタイルを確立し、チームリーダーとして組織の成果を最大化する。キャリアは長期前提であり、市場環境の変化が起きた場合も、社内で運用対象や役割を広げながら適応していく方針である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 「キャリアビジョンと時間軸」項目は終了 にします。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次はあなたが挙げた不足リストの順で、「Will・Can・Mustの三点統合」 に進みます。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準備OKなら「1次会」とだけ返してください。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