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価値観の優先順位とトレードオフ（投資判断OS）</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私は日本株の長期投資（バリュー/グロース）を前提に、投資判断で重視する優先順位を 「説明可能性（Explainability）＞下落耐性（Downside Control）＞検証可能性（Verifiability）＞上振れ（Upside）」 と定めている。</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理由は、株式市場ではファンダメンタルズだけでは説明できない価格変動（フロー・需給・投資家行動による下落など）が起きるため、運用者としては「何に基づいてこの投資を行うのか」を顧客に説明できることが最重要だからである。説明可能性の主目的は ①顧客への説明責任、②組織としての再現性（担当が変わっても運用が崩れない）、③意思決定品質の担保 の順である。</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具体的なトレードオフ判断として、上振れが大きくても説明が難しくドローダウンが大きい銘柄より、上振れが中程度でも説明しやすく下落耐性の高い銘柄を選ぶ（中期・短期でも同様）。説明できない投資は、プロダクトとしての継続性や顧客資産の保全という観点で許容しづらい。</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また、私が最も警戒する「見えざるリスク」は財務面、とりわけ キャッシュフローである。早期検知の軸は (a)営業CFの質、(c)手元流動性と資金繰り、(e)負債返済能力 の3点で、致命傷を避けることを優先する。</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一方で、検証可能性を高めることは将来的な自動化にもつながると考えており、説明できるロジックを土台に、定量・定性を統合して再現可能な判断プロセスへ落とし込む。上振れ機会の取り逃し（機会損失）も意識しており、検証と上振れのバランスは 6:4 程度で設計する。</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なお、短期の価格変動要因は複雑で完全特定が難しいが、「主要因の仮説」を構造化して提示し、その上で「長期保有できる理由（シナリオと許容損失）」を説明することが運用者の責務だと考えている。複雑さを整理し可視化することは、今後AI活用により精度を上げられる領域であり、研究テーマとしても取り組みたい。</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