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21d1vggdgx2" w:id="0"/>
      <w:bookmarkEnd w:id="0"/>
      <w:r w:rsidDel="00000000" w:rsidR="00000000" w:rsidRPr="00000000">
        <w:rPr>
          <w:rFonts w:ascii="Arial Unicode MS" w:cs="Arial Unicode MS" w:eastAsia="Arial Unicode MS" w:hAnsi="Arial Unicode MS"/>
          <w:b w:val="1"/>
          <w:bCs w:val="1"/>
          <w:color w:val="000000"/>
          <w:sz w:val="26"/>
          <w:szCs w:val="26"/>
          <w:rtl w:val="0"/>
        </w:rPr>
        <w:t xml:space="preserve">経済とインセンティブの構造理解：目的から紐解く因果関係（幼少期〜高校）</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【時期】</w:t>
      </w:r>
      <w:r w:rsidDel="00000000" w:rsidR="00000000" w:rsidRPr="00000000">
        <w:rPr>
          <w:rFonts w:ascii="Arial Unicode MS" w:cs="Arial Unicode MS" w:eastAsia="Arial Unicode MS" w:hAnsi="Arial Unicode MS"/>
          <w:rtl w:val="0"/>
        </w:rPr>
        <w:t xml:space="preserve"> 幼少期〜高校時代 </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【状況 (Situation)】</w:t>
      </w:r>
      <w:r w:rsidDel="00000000" w:rsidR="00000000" w:rsidRPr="00000000">
        <w:rPr>
          <w:rFonts w:ascii="Arial Unicode MS" w:cs="Arial Unicode MS" w:eastAsia="Arial Unicode MS" w:hAnsi="Arial Unicode MS"/>
          <w:rtl w:val="0"/>
        </w:rPr>
        <w:t xml:space="preserve"> 父親が日常的にお金の話や「誰が儲かっているか」という視点で社会事象について語る環境で育った。中学受験を通じて歴史を深く学んでおり、高校での日本史学習は基礎知識がある状態からのスタートであった。 </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【意図・想い (Intent)】</w:t>
      </w:r>
      <w:r w:rsidDel="00000000" w:rsidR="00000000" w:rsidRPr="00000000">
        <w:rPr>
          <w:rFonts w:ascii="Arial Unicode MS" w:cs="Arial Unicode MS" w:eastAsia="Arial Unicode MS" w:hAnsi="Arial Unicode MS"/>
          <w:rtl w:val="0"/>
        </w:rPr>
        <w:t xml:space="preserve"> 歴史や経済を単なる知識として暗記するのではなく、「その事象がなぜ起きたのか（誰がどのような目的・インセンティブを持って行動したのか）」という構造を理解することを学習の目的とした。 </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【行動 (Action)】</w:t>
      </w:r>
      <w:r w:rsidDel="00000000" w:rsidR="00000000" w:rsidRPr="00000000">
        <w:rPr>
          <w:rFonts w:ascii="Arial Unicode MS" w:cs="Arial Unicode MS" w:eastAsia="Arial Unicode MS" w:hAnsi="Arial Unicode MS"/>
          <w:rtl w:val="0"/>
        </w:rPr>
        <w:t xml:space="preserve"> 父親の「戦争が起きるのは武器商人が儲かるからだ」といった極端な例え話から、「事象の裏には必ず利益（目的）を追求する主体が存在する」という視点を養った。中学の公民で学んだ買いオペ・売りオペの仕組みに惹かれ、高校での日本史や政治経済の学習では、単語の暗記以上に「誰がどんな目的で何をやった結果、状況がどう変化し、次のアクションにどう繋がったのか」というストーリー性・因果関係を重視した。文化史においても、「どのような政治・経済的目論見がその文化の形成に影響を与えたのか」というマクロな構造からの理解に努めた。 </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【結果・成果 (Result)】</w:t>
      </w:r>
      <w:r w:rsidDel="00000000" w:rsidR="00000000" w:rsidRPr="00000000">
        <w:rPr>
          <w:rFonts w:ascii="Arial Unicode MS" w:cs="Arial Unicode MS" w:eastAsia="Arial Unicode MS" w:hAnsi="Arial Unicode MS"/>
          <w:rtl w:val="0"/>
        </w:rPr>
        <w:t xml:space="preserve"> 単なる知識の蓄積ではなく、社会事象や歴史の流れを「プレイヤーの目的とインセンティブ」という論理的な糸で紐解く独自の思考力を身につけた。 </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【学び (Learning)】</w:t>
      </w:r>
      <w:r w:rsidDel="00000000" w:rsidR="00000000" w:rsidRPr="00000000">
        <w:rPr>
          <w:rFonts w:ascii="Arial Unicode MS" w:cs="Arial Unicode MS" w:eastAsia="Arial Unicode MS" w:hAnsi="Arial Unicode MS"/>
          <w:rtl w:val="0"/>
        </w:rPr>
        <w:t xml:space="preserve"> 表面的な出来事にとらわれず、「資金の流れ」や「プレイヤーの最終目的」から物事の本質を紐解くアプローチは、現在の高度な論理的思考能力および事象分析の重要な原点となっている。</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