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Competitor Analysis</w:t>
      </w:r>
    </w:p>
    <w:p>
      <w:pPr>
        <w:spacing w:after="2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Use this template with Claude Cowork: attach this file, name a competitor, and ask Claude to fill in every section.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C3C3C"/>
          <w:sz w:val="26"/>
          <w:szCs w:val="26"/>
        </w:rPr>
        <w:t xml:space="preserve">1. Company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Acme Corp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2012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Headquarters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Austin, TX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~1,200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Funding / public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Series C, $80M raised / NYSE: ACM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acmecorp.com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C3C3C"/>
          <w:sz w:val="26"/>
          <w:szCs w:val="26"/>
        </w:rPr>
        <w:t xml:space="preserve">2. Products &amp; Services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What do they sell? List their main products or service 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user / buyer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C3C3C"/>
          <w:sz w:val="26"/>
          <w:szCs w:val="26"/>
        </w:rPr>
        <w:t xml:space="preserve">3. Target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Industries / verticals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Healthcare, Financial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Mid-market (100-1,000 employees)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VP of Operations, IT Director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Geography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North America, expanding to EMEA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C3C3C"/>
          <w:sz w:val="26"/>
          <w:szCs w:val="26"/>
        </w:rPr>
        <w:t xml:space="preserve">4. Pricing &amp; Packaging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What tiers do they offer? What does each include? Any public pricing?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Limits / caveats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C3C3C"/>
          <w:sz w:val="26"/>
          <w:szCs w:val="26"/>
        </w:rPr>
        <w:t xml:space="preserve">5. Strengths &amp;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Gaps / Weaknesses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What do they do well? Where do customers praise them?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Where do customers complain? What are they missing?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C3C3C"/>
          <w:sz w:val="26"/>
          <w:szCs w:val="26"/>
        </w:rPr>
        <w:t xml:space="preserve">6. Recent News &amp; Activity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Product launches, funding rounds, leadership changes, partnerships, press in the last 12 months.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 / Announcement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C3C3C"/>
          <w:sz w:val="26"/>
          <w:szCs w:val="26"/>
        </w:rPr>
        <w:t xml:space="preserve">7. How They 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sales motion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Product-led growth, direct enterprise sales, channel partners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channels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Website, G2/Capterra, LinkedIn ads,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trial / freemium?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Yes, 14-day free trial; no credit card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Notable customers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e.g. Dell, Marriott, University of Texas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C3C3C"/>
          <w:sz w:val="26"/>
          <w:szCs w:val="26"/>
        </w:rPr>
        <w:t xml:space="preserve">8. Data Confidence &amp; Sources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Note which sections are based on strong public data vs. inference. Flag anything that needs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Source(s)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Prepared with Claude Cowork  |  Leland AI Builder Program  |  lelandcourses.com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2026-06-15T16:32:05.522Z</dcterms:created>
  <dcterms:modified xsi:type="dcterms:W3CDTF">2026-06-15T16:32:05.522Z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