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546e7a"/>
          <w:spacing w:val="40"/>
          <w:sz w:val="18"/>
          <w:szCs w:val="18"/>
        </w:rPr>
        <w:t xml:space="preserve">G6 LLC · Newark, New Jersey · 2026</w:t>
      </w:r>
    </w:p>
    <w:p>
      <w:pPr>
        <w:spacing w:after="40" w:before="0"/>
        <w:jc w:val="center"/>
      </w:pPr>
      <w:r>
        <w:rPr>
          <w:rFonts w:ascii="Arial" w:cs="Arial" w:eastAsia="Arial" w:hAnsi="Arial"/>
          <w:i/>
          <w:iCs/>
          <w:color w:val="2a7f7f"/>
          <w:sz w:val="22"/>
          <w:szCs w:val="22"/>
        </w:rPr>
        <w:t xml:space="preserve">Principia Orthogona · Book 3</w:t>
      </w:r>
    </w:p>
    <w:p>
      <w:pPr>
        <w:spacing w:after="60" w:before="0"/>
        <w:jc w:val="center"/>
      </w:pPr>
      <w:r>
        <w:rPr>
          <w:rFonts w:ascii="Arial" w:cs="Arial" w:eastAsia="Arial" w:hAnsi="Arial"/>
          <w:b/>
          <w:bCs/>
          <w:color w:val="0a1628"/>
          <w:spacing w:val="20"/>
          <w:sz w:val="56"/>
          <w:szCs w:val="56"/>
        </w:rPr>
        <w:t xml:space="preserve">The Mini-Beast</w:t>
      </w:r>
    </w:p>
    <w:p>
      <w:pPr>
        <w:spacing w:after="40" w:before="0"/>
        <w:jc w:val="center"/>
      </w:pPr>
      <w:r>
        <w:rPr>
          <w:rFonts w:ascii="Georgia" w:cs="Georgia" w:eastAsia="Georgia" w:hAnsi="Georgia"/>
          <w:i/>
          <w:iCs/>
          <w:color w:val="546e7a"/>
          <w:sz w:val="20"/>
          <w:szCs w:val="20"/>
        </w:rPr>
        <w:t xml:space="preserve">A living book of generative instantiations — 30+ chapters and growing</w:t>
      </w:r>
    </w:p>
    <w:p>
      <w:pPr>
        <w:pBdr>
          <w:bottom w:val="single" w:color="0a1628" w:sz="10" w:space="1"/>
        </w:pBdr>
        <w:spacing w:after="80" w:before="0"/>
      </w:pPr>
    </w:p>
    <w:p>
      <w:pPr>
        <w:spacing w:after="0" w:before="80"/>
      </w:pPr>
    </w:p>
    <w:p>
      <w:pPr>
        <w:spacing w:after="80" w:before="80"/>
        <w:jc w:val="center"/>
      </w:pPr>
      <w:r>
        <w:rPr>
          <w:rFonts w:ascii="Courier New" w:cs="Courier New" w:eastAsia="Courier New" w:hAnsi="Courier New"/>
          <w:b/>
          <w:bCs/>
          <w:color w:val="0a1628"/>
          <w:sz w:val="36"/>
          <w:szCs w:val="36"/>
        </w:rPr>
        <w:t xml:space="preserve">G = U ∘ F ∘ K ∘ C</w:t>
      </w:r>
    </w:p>
    <w:p>
      <w:pPr>
        <w:spacing w:after="120" w:before="0"/>
        <w:jc w:val="center"/>
      </w:pPr>
      <w:r>
        <w:rPr>
          <w:rFonts w:ascii="Georgia" w:cs="Georgia" w:eastAsia="Georgia" w:hAnsi="Georgia"/>
          <w:i/>
          <w:iCs/>
          <w:color w:val="546e7a"/>
          <w:sz w:val="20"/>
          <w:szCs w:val="20"/>
        </w:rPr>
        <w:t xml:space="preserve">The substrate changes by seventeen orders of magnitude. The operator sequence does not.</w:t>
      </w:r>
    </w:p>
    <w:p>
      <w:pPr>
        <w:spacing w:after="80" w:before="0"/>
        <w:jc w:val="both"/>
      </w:pPr>
      <w:r>
        <w:rPr>
          <w:rFonts w:ascii="Georgia" w:cs="Georgia" w:eastAsia="Georgia" w:hAnsi="Georgia"/>
          <w:i/>
          <w:iCs/>
          <w:color w:val="111111"/>
          <w:sz w:val="20"/>
          <w:szCs w:val="20"/>
        </w:rPr>
        <w:t xml:space="preserve">“In dusty plasmas, magnetic reconnection is a precise generative transition governed by C→K→F→U. The dm³ contact geometry predicts the exact reconnection rate and fractal current-sheet structure that standard MHD cannot resolve.”</w:t>
      </w:r>
    </w:p>
    <w:p>
      <w:pPr>
        <w:spacing w:after="80" w:before="0"/>
        <w:jc w:val="both"/>
      </w:pPr>
      <w:r>
        <w:rPr>
          <w:rFonts w:ascii="Georgia" w:cs="Georgia" w:eastAsia="Georgia" w:hAnsi="Georgia"/>
          <w:i/>
          <w:iCs/>
          <w:color w:val="111111"/>
          <w:sz w:val="20"/>
          <w:szCs w:val="20"/>
        </w:rPr>
        <w:t xml:space="preserve">“Market price trajectories are generative transitions on a volatility manifold. The dm³ operator algebra predicts regime shifts before they happen, turning crashes into predictable unfolding events rather than black swans.”</w:t>
      </w:r>
    </w:p>
    <w:p>
      <w:pPr>
        <w:spacing w:after="120" w:before="0"/>
        <w:jc w:val="both"/>
      </w:pPr>
      <w:r>
        <w:rPr>
          <w:rFonts w:ascii="Georgia" w:cs="Georgia" w:eastAsia="Georgia" w:hAnsi="Georgia"/>
          <w:i/>
          <w:iCs/>
          <w:color w:val="111111"/>
          <w:sz w:val="20"/>
          <w:szCs w:val="20"/>
        </w:rPr>
        <w:t xml:space="preserve">“Neural oscillations, plasma reconnection, market regime shifts, and biological allostasis are not analogies — they are different orbits of the same dm³ system. Coherence across domains is exact mathematical identity.”</w:t>
      </w:r>
    </w:p>
    <w:p>
      <w:pPr>
        <w:pBdr>
          <w:bottom w:val="single" w:color="2a7f7f" w:sz="4" w:space="1"/>
        </w:pBdr>
        <w:spacing w:after="80" w:before="0"/>
      </w:pPr>
    </w:p>
    <w:p>
      <w:pPr>
        <w:spacing w:after="0" w:before="60"/>
      </w:pPr>
    </w:p>
    <w:p>
      <w:pPr>
        <w:spacing w:after="0" w:before="220"/>
      </w:pPr>
    </w:p>
    <w:p>
      <w:pPr>
        <w:spacing w:after="60" w:before="0"/>
      </w:pPr>
      <w:r>
        <w:rPr>
          <w:rFonts w:ascii="Arial" w:cs="Arial" w:eastAsia="Arial" w:hAnsi="Arial"/>
          <w:b/>
          <w:bCs/>
          <w:color w:val="0a1628"/>
          <w:spacing w:val="40"/>
          <w:sz w:val="20"/>
          <w:szCs w:val="20"/>
        </w:rPr>
        <w:t xml:space="preserve">THE COHERENCE BRIDGE THEOREM (THEOREM 5.4) — PROVED IN LEAN 4</w:t>
      </w:r>
    </w:p>
    <w:p>
      <w:pPr>
        <w:pBdr>
          <w:bottom w:val="single" w:color="2a7f7f" w:sz="7" w:space="1"/>
        </w:pBdr>
        <w:spacing w:after="80" w:before="0"/>
      </w:pPr>
    </w:p>
    <w:p>
      <w:pPr>
        <w:spacing w:after="0" w:before="60"/>
      </w:pPr>
    </w:p>
    <w:p>
      <w:pPr>
        <w:spacing w:after="100" w:before="0"/>
        <w:jc w:val="both"/>
      </w:pPr>
      <w:r>
        <w:rPr>
          <w:rFonts w:ascii="Georgia" w:cs="Georgia" w:eastAsia="Georgia" w:hAnsi="Georgia"/>
          <w:color w:val="111111"/>
          <w:sz w:val="20"/>
          <w:szCs w:val="20"/>
        </w:rPr>
        <w:t xml:space="preserve">The dm³ systems listed below are objects in the same category dm³ and are related by explicit contact morphisms fᵢⱼ: Xᵢ → Xⱼ with fᵢⱼ(Γᵢ) = Γⱼ. Each system instantiates the same contact normal form with parameters (μ_max, ω, β). The systems are not analogies. They are exact mathematical identities in the category dm³.</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400"/>
        <w:gridCol w:w="1400"/>
        <w:gridCol w:w="1480"/>
      </w:tblGrid>
      <w:tr>
        <w:trPr>
          <w:tblHeader/>
        </w:trPr>
        <w:tc>
          <w:tcPr>
            <w:tcW w:type="dxa" w:w="26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Domain</w:t>
            </w:r>
          </w:p>
        </w:tc>
        <w:tc>
          <w:tcPr>
            <w:tcW w:type="dxa" w:w="16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μ_max (s⁻¹)</w:t>
            </w:r>
          </w:p>
        </w:tc>
        <w:tc>
          <w:tcPr>
            <w:tcW w:type="dxa" w:w="16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ω (rad/s)</w:t>
            </w:r>
          </w:p>
        </w:tc>
        <w:tc>
          <w:tcPr>
            <w:tcW w:type="dxa" w:w="14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β</w:t>
            </w:r>
          </w:p>
        </w:tc>
        <w:tc>
          <w:tcPr>
            <w:tcW w:type="dxa" w:w="14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κ*</w:t>
            </w:r>
          </w:p>
        </w:tc>
        <w:tc>
          <w:tcPr>
            <w:tcW w:type="dxa" w:w="148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Status</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HPA allostatic stress</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−0.38</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0.21</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1.9</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0.15–0.22</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d5a27"/>
                <w:sz w:val="16"/>
                <w:szCs w:val="16"/>
              </w:rPr>
              <w:t xml:space="preserve">✓ Lean 4</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Neural oscillations</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−0.55</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0.45</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2.1</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0.25–0.35</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d5a27"/>
                <w:sz w:val="16"/>
                <w:szCs w:val="16"/>
              </w:rPr>
              <w:t xml:space="preserve">✓ Lean 4</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Circadian clock</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−0.29</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2π/86400</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1.6</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0.08–0.12</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d5a27"/>
                <w:sz w:val="16"/>
                <w:szCs w:val="16"/>
              </w:rPr>
              <w:t xml:space="preserve">✓ Lean 4</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Immune adaptation</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−0.44</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0.18</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2.0</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0.11–0.19</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d5a27"/>
                <w:sz w:val="16"/>
                <w:szCs w:val="16"/>
              </w:rPr>
              <w:t xml:space="preserve">✓ Lean 4</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Plasma reconnection</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−0.42</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0.015</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1.8</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5×10⁻⁴ km⁻¹</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d5a27"/>
                <w:sz w:val="16"/>
                <w:szCs w:val="16"/>
              </w:rPr>
              <w:t xml:space="preserve">✓ Lean 4</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Market volatility</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−0.67</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0.28</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2.4</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0.12–0.18</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d5a27"/>
                <w:sz w:val="16"/>
                <w:szCs w:val="16"/>
              </w:rPr>
              <w:t xml:space="preserve">✓ Lean 4</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Saturn hexagon</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−0.38</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1.65×10⁻⁴</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2.1</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0.12–0.18</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d5a27"/>
                <w:sz w:val="16"/>
                <w:szCs w:val="16"/>
              </w:rPr>
              <w:t xml:space="preserve">✓ Lean 4</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Enceladus cryovolcanism</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−0.41</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variable</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1.9</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κ*_Enc ≈5×10⁻⁴</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7a4a2a"/>
                <w:sz w:val="16"/>
                <w:szCs w:val="16"/>
              </w:rPr>
              <w:t xml:space="preserve">Argued</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Faraday / EM helical</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−0.44</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variable</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2.0</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field-dep.</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Building</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Autophagy</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−0.39</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0.12</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1.8</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0.10–0.18</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26 thm 0 sorry</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Triple-alpha stellar</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−0.51</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variable</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2.2</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stellar dep.</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26 thm 0 sorry</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Wigner crystallisation</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−0.36</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0.09</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1.7</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0.09–0.15</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Building</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DNLS / N-bonacci</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−0.43</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0.22</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1.9</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λ_c≈1.5</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d5a27"/>
                <w:sz w:val="16"/>
                <w:szCs w:val="16"/>
              </w:rPr>
              <w:t xml:space="preserve">✓ Lean 4</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Tubulin oscillations</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−0.40</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0.14</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1.8</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0.10–0.16</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Building</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PolyLaminin</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−0.37</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0.11</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1.7</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0.09–0.14</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Building</w:t>
            </w:r>
          </w:p>
        </w:tc>
      </w:tr>
      <w:tr>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6"/>
                <w:szCs w:val="16"/>
              </w:rPr>
              <w:t xml:space="preserve">Collatz conjecture</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n/a</w:t>
            </w:r>
          </w:p>
        </w:tc>
        <w:tc>
          <w:tcPr>
            <w:tcW w:type="dxa" w:w="1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n/a</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n/a</w:t>
            </w:r>
          </w:p>
        </w:tc>
        <w:tc>
          <w:tcPr>
            <w:tcW w:type="dxa" w:w="1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6"/>
                <w:szCs w:val="16"/>
              </w:rPr>
              <w:t xml:space="preserve">3 proofs</w:t>
            </w:r>
          </w:p>
        </w:tc>
        <w:tc>
          <w:tcPr>
            <w:tcW w:type="dxa" w:w="14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d5a27"/>
                <w:sz w:val="16"/>
                <w:szCs w:val="16"/>
              </w:rPr>
              <w:t xml:space="preserve">✓ GTCT</w:t>
            </w:r>
          </w:p>
        </w:tc>
      </w:tr>
    </w:tbl>
    <w:p>
      <w:pPr>
        <w:spacing w:after="0" w:before="100"/>
      </w:pPr>
    </w:p>
    <w:p>
      <w:pPr>
        <w:spacing w:after="0" w:before="220"/>
      </w:pPr>
    </w:p>
    <w:p>
      <w:pPr>
        <w:spacing w:after="60" w:before="0"/>
      </w:pPr>
      <w:r>
        <w:rPr>
          <w:rFonts w:ascii="Arial" w:cs="Arial" w:eastAsia="Arial" w:hAnsi="Arial"/>
          <w:b/>
          <w:bCs/>
          <w:color w:val="0a1628"/>
          <w:spacing w:val="40"/>
          <w:sz w:val="20"/>
          <w:szCs w:val="20"/>
        </w:rPr>
        <w:t xml:space="preserve">CHAPTER MAP — 30+ CHAPTERS · SNAPSHOT MAY 2026</w:t>
      </w:r>
    </w:p>
    <w:p>
      <w:pPr>
        <w:pBdr>
          <w:bottom w:val="single" w:color="2a7f7f" w:sz="7" w:space="1"/>
        </w:pBdr>
        <w:spacing w:after="80" w:before="0"/>
      </w:pPr>
    </w:p>
    <w:p>
      <w:pPr>
        <w:spacing w:after="0" w:before="60"/>
      </w:pPr>
    </w:p>
    <w:p>
      <w:pPr>
        <w:spacing w:after="100" w:before="0"/>
        <w:jc w:val="both"/>
      </w:pPr>
      <w:r>
        <w:rPr>
          <w:rFonts w:ascii="Georgia" w:cs="Georgia" w:eastAsia="Georgia" w:hAnsi="Georgia"/>
          <w:color w:val="111111"/>
          <w:sz w:val="20"/>
          <w:szCs w:val="20"/>
        </w:rPr>
        <w:t xml:space="preserve">Book 3 is a living atlas. Every domain entry delivers: a manifold, a metric, a critical curvature κ*, the contact normal form calibration, and explicit falsifiability conditions against public data. The chapter list below reflects confirmed HTML files across AXLE and B3 repositories as of May 2026. New domains are added as they are verified.</w:t>
      </w:r>
    </w:p>
    <w:p>
      <w:pPr>
        <w:spacing w:after="0" w:before="60"/>
      </w:pPr>
    </w:p>
    <w:p>
      <w:pPr>
        <w:spacing w:after="50" w:before="160"/>
      </w:pPr>
      <w:r>
        <w:rPr>
          <w:rFonts w:ascii="Arial" w:cs="Arial" w:eastAsia="Arial" w:hAnsi="Arial"/>
          <w:b/>
          <w:bCs/>
          <w:color w:val="2d5a27"/>
          <w:sz w:val="21"/>
          <w:szCs w:val="21"/>
        </w:rPr>
        <w:t xml:space="preserve">Part I — Core Sequence (Operator Phases C → K → F → 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2400"/>
        <w:gridCol w:w="1280"/>
      </w:tblGrid>
      <w:tr>
        <w:trPr>
          <w:tblHeader/>
        </w:trPr>
        <w:tc>
          <w:tcPr>
            <w:tcW w:type="dxa" w:w="7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Op</w:t>
            </w:r>
          </w:p>
        </w:tc>
        <w:tc>
          <w:tcPr>
            <w:tcW w:type="dxa" w:w="46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Chapter</w:t>
            </w:r>
          </w:p>
        </w:tc>
        <w:tc>
          <w:tcPr>
            <w:tcW w:type="dxa" w:w="24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Domain</w:t>
            </w:r>
          </w:p>
        </w:tc>
        <w:tc>
          <w:tcPr>
            <w:tcW w:type="dxa" w:w="128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Status</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d5a27"/>
                <w:sz w:val="17"/>
                <w:szCs w:val="17"/>
              </w:rPr>
              <w:t xml:space="preserve">C</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Ch.1 — The Cajueiro Principle</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Pedagogy / Fixed Point Theory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d5a27"/>
                <w:sz w:val="17"/>
                <w:szCs w:val="17"/>
              </w:rPr>
              <w:t xml:space="preserve">C</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Ch.2 — Biological Instantiations (HPA, Neural, Circadian, Immune)</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Biology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d5a27"/>
                <w:sz w:val="17"/>
                <w:szCs w:val="17"/>
              </w:rPr>
              <w:t xml:space="preserve">C</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Ch.2b — The dm³ Framework Overview</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Mathematics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d5a27"/>
                <w:sz w:val="17"/>
                <w:szCs w:val="17"/>
              </w:rPr>
              <w:t xml:space="preserve">C</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Ch.2c — Reading and Compression</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Pedagogy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Ch.3 — Plasma-Sheet Reconnection</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Plasma Physics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Ch.3b — Sources and Evidence</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Methodology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Ch.3c — Circadian Regulation (standalone)</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Biology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Ch.4 — Market Volatility Manifolds</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Financial Markets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Ch.4b — Milestone 1 Assessment</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Pedagogy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Ch.4c — Neural Oscillations (Kuramoto)</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Neuroscience</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a4a8a"/>
                <w:sz w:val="17"/>
                <w:szCs w:val="17"/>
              </w:rPr>
              <w:t xml:space="preserve">F</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Ch.5 — Oscillations and Coherence</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Cross-domain</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a4a8a"/>
                <w:sz w:val="17"/>
                <w:szCs w:val="17"/>
              </w:rPr>
              <w:t xml:space="preserve">F</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Ch.5b — Immune Memory</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Biology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a4a8a"/>
                <w:sz w:val="17"/>
                <w:szCs w:val="17"/>
              </w:rPr>
              <w:t xml:space="preserve">F</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Ch.6 — The Argument Structure</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Mathematics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a4a8a"/>
                <w:sz w:val="17"/>
                <w:szCs w:val="17"/>
              </w:rPr>
              <w:t xml:space="preserve">F</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Ch.6b — Pedagogy as Mathematical Necessity</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Pedagogy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a4a8a"/>
                <w:sz w:val="17"/>
                <w:szCs w:val="17"/>
              </w:rPr>
              <w:t xml:space="preserve">F</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Ch.6c — Resonant Systems</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Acoustics / Cymatics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6a2a7a"/>
                <w:sz w:val="17"/>
                <w:szCs w:val="17"/>
              </w:rPr>
              <w:t xml:space="preserve">U</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Ch.7 — Crystalline Structures (Wigner, moiré)</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Physics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6a2a7a"/>
                <w:sz w:val="17"/>
                <w:szCs w:val="17"/>
              </w:rPr>
              <w:t xml:space="preserve">U</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Ch.8 — The Axiomatic Foundation</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Mathematics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6a2a7a"/>
                <w:sz w:val="17"/>
                <w:szCs w:val="17"/>
              </w:rPr>
              <w:t xml:space="preserve">U</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Ch.8c — Meru — Sacred Geometry as dm³</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Mathematics / Culture</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6a2a7a"/>
                <w:sz w:val="17"/>
                <w:szCs w:val="17"/>
              </w:rPr>
              <w:t xml:space="preserve">U</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Ch.9 — Phi — Golden Ratio as Fixed Point</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Mathematics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6a2a7a"/>
                <w:sz w:val="17"/>
                <w:szCs w:val="17"/>
              </w:rPr>
              <w:t xml:space="preserve">U</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Ch.10 — Lyapunov Exponents and Stability</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Dynamical Systems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6a2a7a"/>
                <w:sz w:val="17"/>
                <w:szCs w:val="17"/>
              </w:rPr>
              <w:t xml:space="preserve">U</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Ch.11 — Spectral Radius — Transfer Operator</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Mathematics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6a2a7a"/>
                <w:sz w:val="17"/>
                <w:szCs w:val="17"/>
              </w:rPr>
              <w:t xml:space="preserve">U</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Ch.12 — Conclusion — Complete Completeness</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Mathematics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6a2a7a"/>
                <w:sz w:val="17"/>
                <w:szCs w:val="17"/>
              </w:rPr>
              <w:t xml:space="preserve">U</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Ch.13 — Revision and Synthesis</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Pedagogy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6a2a7a"/>
                <w:sz w:val="17"/>
                <w:szCs w:val="17"/>
              </w:rPr>
              <w:t xml:space="preserve">U</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Ch.14 — AXLE — Formal Verification Chapter</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Lean 4 / AXLE</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d5a27"/>
                <w:sz w:val="17"/>
                <w:szCs w:val="17"/>
              </w:rPr>
              <w:t xml:space="preserve">✓ Lean 4</w:t>
            </w:r>
          </w:p>
        </w:tc>
      </w:tr>
    </w:tbl>
    <w:p>
      <w:pPr>
        <w:spacing w:after="0" w:before="100"/>
      </w:pPr>
    </w:p>
    <w:p>
      <w:pPr>
        <w:spacing w:after="50" w:before="160"/>
      </w:pPr>
      <w:r>
        <w:rPr>
          <w:rFonts w:ascii="Arial" w:cs="Arial" w:eastAsia="Arial" w:hAnsi="Arial"/>
          <w:b/>
          <w:bCs/>
          <w:color w:val="2a7f7f"/>
          <w:sz w:val="21"/>
          <w:szCs w:val="21"/>
        </w:rPr>
        <w:t xml:space="preserve">Part II — Extended Domain Chapters (Living 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2400"/>
        <w:gridCol w:w="1280"/>
      </w:tblGrid>
      <w:tr>
        <w:trPr>
          <w:tblHeader/>
        </w:trPr>
        <w:tc>
          <w:tcPr>
            <w:tcW w:type="dxa" w:w="7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Op</w:t>
            </w:r>
          </w:p>
        </w:tc>
        <w:tc>
          <w:tcPr>
            <w:tcW w:type="dxa" w:w="46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Chapter</w:t>
            </w:r>
          </w:p>
        </w:tc>
        <w:tc>
          <w:tcPr>
            <w:tcW w:type="dxa" w:w="24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Domain</w:t>
            </w:r>
          </w:p>
        </w:tc>
        <w:tc>
          <w:tcPr>
            <w:tcW w:type="dxa" w:w="128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Status</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a4a8a"/>
                <w:sz w:val="17"/>
                <w:szCs w:val="17"/>
              </w:rPr>
              <w:t xml:space="preserve">F</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Ch.E — GTCT for Everyone (9 axioms, 12 operators, 4 theorems)</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GTCT / Time Theory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Ch.F — Saturn’s North Polar Hexagon (g₃₃ = 33 crystal law)</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Planetary Science</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8a2a2a"/>
                <w:sz w:val="17"/>
                <w:szCs w:val="17"/>
              </w:rPr>
              <w:t xml:space="preserve">G</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Ch.G — Kālabhairava (time as generative operator)</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Mathematics / Culture</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8a2a2a"/>
                <w:sz w:val="17"/>
                <w:szCs w:val="17"/>
              </w:rPr>
              <w:t xml:space="preserve">G</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Ch.H — Collatz Conjecture (3 proofs via GTCT)</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Number Theory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d5a27"/>
                <w:sz w:val="17"/>
                <w:szCs w:val="17"/>
              </w:rPr>
              <w:t xml:space="preserve">C</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Ch.A — Autophagy and Triple-Alpha Process (26 thm, 0 sorry)</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Biology / Astrophysics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d5a27"/>
                <w:sz w:val="17"/>
                <w:szCs w:val="17"/>
              </w:rPr>
              <w:t xml:space="preserve">✓ Lean 4</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Ch.T — Tubulin Oscillations</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Biophysics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c9a84c"/>
                <w:sz w:val="17"/>
                <w:szCs w:val="17"/>
              </w:rPr>
              <w:t xml:space="preserve">Building</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a4a8a"/>
                <w:sz w:val="17"/>
                <w:szCs w:val="17"/>
              </w:rPr>
              <w:t xml:space="preserve">F</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Ch.W — Wigner Crystallisation</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Quantum Physics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Ch.η — DNLS / N-bonacci Criticality (η ≈ 1.8393)</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Mathematics / Physics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d5a27"/>
                <w:sz w:val="17"/>
                <w:szCs w:val="17"/>
              </w:rPr>
              <w:t xml:space="preserve">✓ Lean 4</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d5a27"/>
                <w:sz w:val="17"/>
                <w:szCs w:val="17"/>
              </w:rPr>
              <w:t xml:space="preserve">C</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Ch.Λ — PolyLaminin / k-nacci Spine</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Biology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c9a84c"/>
                <w:sz w:val="17"/>
                <w:szCs w:val="17"/>
              </w:rPr>
              <w:t xml:space="preserve">Building</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a4a8a"/>
                <w:sz w:val="17"/>
                <w:szCs w:val="17"/>
              </w:rPr>
              <w:t xml:space="preserve">F</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Ch.6 — The Resonant Chamber (Chladni, 110 Hz, Hypogeum)</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Acoustics / Archaeology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Ch.Enc — Enceladus Cryovolcanism (Gronwall basin chemical filter)</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Planetary Science</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c9a84c"/>
                <w:sz w:val="17"/>
                <w:szCs w:val="17"/>
              </w:rPr>
              <w:t xml:space="preserve">Building</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a4a8a"/>
                <w:sz w:val="17"/>
                <w:szCs w:val="17"/>
              </w:rPr>
              <w:t xml:space="preserve">F</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Ch.Far — Faraday / Electromagnetic Helical Attractors</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Physics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c9a84c"/>
                <w:sz w:val="17"/>
                <w:szCs w:val="17"/>
              </w:rPr>
              <w:t xml:space="preserve">Building</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Ch.Fin — Finance / WorldQuant Alpha (flash crash geometry)</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Financial Markets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d5a27"/>
                <w:sz w:val="17"/>
                <w:szCs w:val="17"/>
              </w:rPr>
              <w:t xml:space="preserve">C</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Ch.Bio — Multi-Agent Bioswarm (FruitFly connectome)</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Computational Biology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d5a27"/>
                <w:sz w:val="17"/>
                <w:szCs w:val="17"/>
              </w:rPr>
              <w:t xml:space="preserve">✓ Lean 4</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6a2a7a"/>
                <w:sz w:val="17"/>
                <w:szCs w:val="17"/>
              </w:rPr>
              <w:t xml:space="preserve">U</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Ch.Intel — Swarm Intelligence (Lean 4 verified)</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AI / Complex Systems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d5a27"/>
                <w:sz w:val="17"/>
                <w:szCs w:val="17"/>
              </w:rPr>
              <w:t xml:space="preserve">✓ Lean 4</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Ch.Nuc — Nuclear Physics B / Tribonacci Coherence</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Nuclear Physics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7a4a2a"/>
                <w:sz w:val="17"/>
                <w:szCs w:val="17"/>
              </w:rPr>
              <w:t xml:space="preserve">Submitted</w:t>
            </w:r>
          </w:p>
        </w:tc>
      </w:tr>
    </w:tbl>
    <w:p>
      <w:pPr>
        <w:spacing w:after="0" w:before="100"/>
      </w:pPr>
    </w:p>
    <w:p>
      <w:pPr>
        <w:spacing w:after="50" w:before="160"/>
      </w:pPr>
      <w:r>
        <w:rPr>
          <w:rFonts w:ascii="Arial" w:cs="Arial" w:eastAsia="Arial" w:hAnsi="Arial"/>
          <w:b/>
          <w:bCs/>
          <w:color w:val="8a2a2a"/>
          <w:sz w:val="21"/>
          <w:szCs w:val="21"/>
        </w:rPr>
        <w:t xml:space="preserve">Part III — The Recurrence Ladder (Greek Constants)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2400"/>
        <w:gridCol w:w="1280"/>
      </w:tblGrid>
      <w:tr>
        <w:trPr>
          <w:tblHeader/>
        </w:trPr>
        <w:tc>
          <w:tcPr>
            <w:tcW w:type="dxa" w:w="7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Op</w:t>
            </w:r>
          </w:p>
        </w:tc>
        <w:tc>
          <w:tcPr>
            <w:tcW w:type="dxa" w:w="46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Chapter</w:t>
            </w:r>
          </w:p>
        </w:tc>
        <w:tc>
          <w:tcPr>
            <w:tcW w:type="dxa" w:w="24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Constant / Domain</w:t>
            </w:r>
          </w:p>
        </w:tc>
        <w:tc>
          <w:tcPr>
            <w:tcW w:type="dxa" w:w="128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Status</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8a2a2a"/>
                <w:sz w:val="17"/>
                <w:szCs w:val="17"/>
              </w:rPr>
              <w:t xml:space="preserve">G</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Ch.π — Why Period = 2π (Reeb geometry, contact structure)</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π = 3.14159…</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c9a84c"/>
                <w:sz w:val="17"/>
                <w:szCs w:val="17"/>
              </w:rPr>
              <w:t xml:space="preserve">Building</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8a2a2a"/>
                <w:sz w:val="17"/>
                <w:szCs w:val="17"/>
              </w:rPr>
              <w:t xml:space="preserve">G</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Ch.φ — Fibonacci as Subcritical dm³ (φ = 1.618)</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φ = 1.61803…</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c9a84c"/>
                <w:sz w:val="17"/>
                <w:szCs w:val="17"/>
              </w:rPr>
              <w:t xml:space="preserve">Building</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8a2a2a"/>
                <w:sz w:val="17"/>
                <w:szCs w:val="17"/>
              </w:rPr>
              <w:t xml:space="preserve">G</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Ch.μ — Lyapunov and Chaos (μ = −2 stability boundary)</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μ exponent</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c9a84c"/>
                <w:sz w:val="17"/>
                <w:szCs w:val="17"/>
              </w:rPr>
              <w:t xml:space="preserve">Building</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8a2a2a"/>
                <w:sz w:val="17"/>
                <w:szCs w:val="17"/>
              </w:rPr>
              <w:t xml:space="preserve">G</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Ch.η — Tribonacci / 1.839 (first supercritical rung)</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η = 1.83929…</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d5a27"/>
                <w:sz w:val="17"/>
                <w:szCs w:val="17"/>
              </w:rPr>
              <w:t xml:space="preserve">✓ Lean 4</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8a2a2a"/>
                <w:sz w:val="17"/>
                <w:szCs w:val="17"/>
              </w:rPr>
              <w:t xml:space="preserve">G</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Ch.Δ — Tetranacci / 1.927 (approaching τ = 2)</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Δ = 1.92757…</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c9a84c"/>
                <w:sz w:val="17"/>
                <w:szCs w:val="17"/>
              </w:rPr>
              <w:t xml:space="preserve">Building</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8a2a2a"/>
                <w:sz w:val="17"/>
                <w:szCs w:val="17"/>
              </w:rPr>
              <w:t xml:space="preserve">G</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Ch.Σ — Pentanacci / 1.966 (ladder converges)</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Σ = 1.96595…</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c9a84c"/>
                <w:sz w:val="17"/>
                <w:szCs w:val="17"/>
              </w:rPr>
              <w:t xml:space="preserve">Building</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8a2a2a"/>
                <w:sz w:val="17"/>
                <w:szCs w:val="17"/>
              </w:rPr>
              <w:t xml:space="preserve">G</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Ch.Ω — Hexabonacci → τ = 2 (Complete Completeness)</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τ = 2 (limit)</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c9a84c"/>
                <w:sz w:val="17"/>
                <w:szCs w:val="17"/>
              </w:rPr>
              <w:t xml:space="preserve">Building</w:t>
            </w:r>
          </w:p>
        </w:tc>
      </w:tr>
    </w:tbl>
    <w:p>
      <w:pPr>
        <w:spacing w:after="0" w:before="100"/>
      </w:pPr>
    </w:p>
    <w:p>
      <w:pPr>
        <w:spacing w:after="50" w:before="160"/>
      </w:pPr>
      <w:r>
        <w:rPr>
          <w:rFonts w:ascii="Arial" w:cs="Arial" w:eastAsia="Arial" w:hAnsi="Arial"/>
          <w:b/>
          <w:bCs/>
          <w:color w:val="6a2a7a"/>
          <w:sz w:val="21"/>
          <w:szCs w:val="21"/>
        </w:rPr>
        <w:t xml:space="preserve">Part IV — Ponto de Entrada (Pedagogical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2400"/>
        <w:gridCol w:w="1280"/>
      </w:tblGrid>
      <w:tr>
        <w:trPr>
          <w:tblHeader/>
        </w:trPr>
        <w:tc>
          <w:tcPr>
            <w:tcW w:type="dxa" w:w="7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Op</w:t>
            </w:r>
          </w:p>
        </w:tc>
        <w:tc>
          <w:tcPr>
            <w:tcW w:type="dxa" w:w="46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Chapter</w:t>
            </w:r>
          </w:p>
        </w:tc>
        <w:tc>
          <w:tcPr>
            <w:tcW w:type="dxa" w:w="24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Domain</w:t>
            </w:r>
          </w:p>
        </w:tc>
        <w:tc>
          <w:tcPr>
            <w:tcW w:type="dxa" w:w="128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Status</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d5a27"/>
                <w:sz w:val="17"/>
                <w:szCs w:val="17"/>
              </w:rPr>
              <w:t xml:space="preserve">C</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The Cajueiro Principle (seed text → recognition → Bridge PT↔EN)</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Pedagogy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7a4a2a"/>
                <w:sz w:val="17"/>
                <w:szCs w:val="17"/>
              </w:rPr>
              <w:t xml:space="preserve">K</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The Order Is Not Arbitrary</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Pedagogy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2a4a8a"/>
                <w:sz w:val="17"/>
                <w:szCs w:val="17"/>
              </w:rPr>
              <w:t xml:space="preserve">F</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The Quantum Weave</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Pedagogy / Physics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6a2a7a"/>
                <w:sz w:val="17"/>
                <w:szCs w:val="17"/>
              </w:rPr>
              <w:t xml:space="preserve">U</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Complete Completeness</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Pedagogy / Mathematics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8a2a2a"/>
                <w:sz w:val="17"/>
                <w:szCs w:val="17"/>
              </w:rPr>
              <w:t xml:space="preserve">G</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The Return</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Pedagogy</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r>
        <w:tc>
          <w:tcPr>
            <w:tcW w:type="dxa" w:w="7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Courier New" w:cs="Courier New" w:eastAsia="Courier New" w:hAnsi="Courier New"/>
                <w:b/>
                <w:bCs/>
                <w:color w:val="8a2a2a"/>
                <w:sz w:val="17"/>
                <w:szCs w:val="17"/>
              </w:rPr>
              <w:t xml:space="preserve">G</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111111"/>
                <w:sz w:val="17"/>
                <w:szCs w:val="17"/>
              </w:rPr>
              <w:t xml:space="preserve">The Resonant Chamber (pedagogical register)</w:t>
            </w:r>
          </w:p>
        </w:tc>
        <w:tc>
          <w:tcPr>
            <w:tcW w:type="dxa" w:w="2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546e7a"/>
                <w:sz w:val="17"/>
                <w:szCs w:val="17"/>
              </w:rPr>
              <w:t xml:space="preserve">Pedagogy / Acoustics</w:t>
            </w:r>
          </w:p>
        </w:tc>
        <w:tc>
          <w:tcPr>
            <w:tcW w:type="dxa" w:w="128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b w:val="false"/>
                <w:bCs w:val="false"/>
                <w:color w:val="2a7f7f"/>
                <w:sz w:val="17"/>
                <w:szCs w:val="17"/>
              </w:rPr>
              <w:t xml:space="preserve">✓ Live</w:t>
            </w:r>
          </w:p>
        </w:tc>
      </w:tr>
    </w:tbl>
    <w:p>
      <w:pPr>
        <w:spacing w:after="0" w:before="100"/>
      </w:pPr>
    </w:p>
    <w:p>
      <w:pPr>
        <w:spacing w:after="50" w:before="160"/>
      </w:pPr>
      <w:r>
        <w:rPr>
          <w:rFonts w:ascii="Arial" w:cs="Arial" w:eastAsia="Arial" w:hAnsi="Arial"/>
          <w:b/>
          <w:bCs/>
          <w:color w:val="2a7f7f"/>
          <w:sz w:val="21"/>
          <w:szCs w:val="21"/>
        </w:rPr>
        <w:t xml:space="preserve">Part V — Sound Machines and Installations</w:t>
      </w:r>
    </w:p>
    <w:p>
      <w:pPr>
        <w:spacing w:after="100" w:before="0"/>
        <w:jc w:val="both"/>
      </w:pPr>
      <w:r>
        <w:rPr>
          <w:rFonts w:ascii="Georgia" w:cs="Georgia" w:eastAsia="Georgia" w:hAnsi="Georgia"/>
          <w:color w:val="111111"/>
          <w:sz w:val="20"/>
          <w:szCs w:val="20"/>
        </w:rPr>
        <w:t xml:space="preserve">Seven interactive sound machines built in HTML5 / Web Audio API, each a direct instantiation of the dm³ resonance geometry: Om Machine, Pranayama Machine, So-Haṃ Machine, G6 Drone Machine, Śrī Yantra Śakti Machine, Ḥal Safliēni Temple Resonance (110 Hz), Swarnakarṣaṇa Bhairava Machine. All seven live at totogt.github.io/AXLE/ and are included with the $30 membership. The cymatics exhibition accepted at the SBM XII Bienal (EXP13) is built on this infrastructure.</w:t>
      </w:r>
    </w:p>
    <w:p>
      <w:pPr>
        <w:spacing w:after="0" w:before="100"/>
      </w:pPr>
    </w:p>
    <w:p>
      <w:pPr>
        <w:spacing w:after="50" w:before="160"/>
      </w:pPr>
      <w:r>
        <w:rPr>
          <w:rFonts w:ascii="Arial" w:cs="Arial" w:eastAsia="Arial" w:hAnsi="Arial"/>
          <w:b/>
          <w:bCs/>
          <w:color w:val="7a4a2a"/>
          <w:sz w:val="21"/>
          <w:szCs w:val="21"/>
        </w:rPr>
        <w:t xml:space="preserve">Millennium Problems — dm³ Language Specifications (DM3-lab)</w:t>
      </w:r>
    </w:p>
    <w:p>
      <w:pPr>
        <w:spacing w:after="100" w:before="0"/>
        <w:jc w:val="both"/>
      </w:pPr>
      <w:r>
        <w:rPr>
          <w:rFonts w:ascii="Georgia" w:cs="Georgia" w:eastAsia="Georgia" w:hAnsi="Georgia"/>
          <w:color w:val="111111"/>
          <w:sz w:val="20"/>
          <w:szCs w:val="20"/>
        </w:rPr>
        <w:t xml:space="preserve">The DM3-lab repository contains formal language specifications applying the dm³ framework to seven Millennium Prize Problems: Goldbach Conjecture, Navier-Stokes, Poincaré (Riemann analog), Riemann Hypothesis, Yang-Mills, Kakeya Conjecture, and Hodge Conjecture. Each has a published language specification (LaTeX) and a Lean 4 toy model. These are not claimed proofs — they are structural mappings demonstrating that each problem has a natural dm³ formulation. They are documented in OPEN_QUESTIONS.md with explicit open status.</w:t>
      </w:r>
    </w:p>
    <w:p>
      <w:pPr>
        <w:spacing w:after="0" w:before="60"/>
      </w:pPr>
    </w:p>
    <w:p>
      <w:pPr>
        <w:spacing w:after="0" w:before="220"/>
      </w:pPr>
    </w:p>
    <w:p>
      <w:pPr>
        <w:spacing w:after="60" w:before="0"/>
      </w:pPr>
      <w:r>
        <w:rPr>
          <w:rFonts w:ascii="Arial" w:cs="Arial" w:eastAsia="Arial" w:hAnsi="Arial"/>
          <w:b/>
          <w:bCs/>
          <w:color w:val="0a1628"/>
          <w:spacing w:val="40"/>
          <w:sz w:val="20"/>
          <w:szCs w:val="20"/>
        </w:rPr>
        <w:t xml:space="preserve">INSTITUTIONAL RECOGNITION — MAY 2026</w:t>
      </w:r>
    </w:p>
    <w:p>
      <w:pPr>
        <w:pBdr>
          <w:bottom w:val="single" w:color="2a7f7f" w:sz="7" w:space="1"/>
        </w:pBdr>
        <w:spacing w:after="80" w:before="0"/>
      </w:pP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800"/>
      </w:tblGrid>
      <w:tr>
        <w:trPr>
          <w:tblHeader/>
        </w:trPr>
        <w:tc>
          <w:tcPr>
            <w:tcW w:type="dxa" w:w="28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Institution</w:t>
            </w:r>
          </w:p>
        </w:tc>
        <w:tc>
          <w:tcPr>
            <w:tcW w:type="dxa" w:w="44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Recognition</w:t>
            </w:r>
          </w:p>
        </w:tc>
        <w:tc>
          <w:tcPr>
            <w:tcW w:type="dxa" w:w="28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Status</w:t>
            </w:r>
          </w:p>
        </w:tc>
      </w:tr>
      <w:tr>
        <w:tc>
          <w:tcPr>
            <w:tcW w:type="dxa" w:w="2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SBM XII Bienal</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5 of 5 works accepted (Natal, Aug 2026) — Exhibition, Oral, Poster, Minicurso, Oficina</w:t>
            </w:r>
          </w:p>
        </w:tc>
        <w:tc>
          <w:tcPr>
            <w:tcW w:type="dxa" w:w="3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7"/>
                <w:szCs w:val="17"/>
              </w:rPr>
              <w:t xml:space="preserve">Confirmed May 20, 2026</w:t>
            </w:r>
          </w:p>
        </w:tc>
      </w:tr>
      <w:tr>
        <w:tc>
          <w:tcPr>
            <w:tcW w:type="dxa" w:w="2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NYFA Fiscal Sponsorship</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Project accepted for fiscal sponsorship — enables tax-deductible donations via 501(c)(3)</w:t>
            </w:r>
          </w:p>
        </w:tc>
        <w:tc>
          <w:tcPr>
            <w:tcW w:type="dxa" w:w="3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7"/>
                <w:szCs w:val="17"/>
              </w:rPr>
              <w:t xml:space="preserve">Confirmed May 22, 2026</w:t>
            </w:r>
          </w:p>
        </w:tc>
      </w:tr>
      <w:tr>
        <w:tc>
          <w:tcPr>
            <w:tcW w:type="dxa" w:w="2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SSRN</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Vols I–II (6439626) and Book 3 (6805940) deposited</w:t>
            </w:r>
          </w:p>
        </w:tc>
        <w:tc>
          <w:tcPr>
            <w:tcW w:type="dxa" w:w="3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7"/>
                <w:szCs w:val="17"/>
              </w:rPr>
              <w:t xml:space="preserve">Published</w:t>
            </w:r>
          </w:p>
        </w:tc>
      </w:tr>
      <w:tr>
        <w:tc>
          <w:tcPr>
            <w:tcW w:type="dxa" w:w="2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Zenodo</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21 open-access records, series root DOI 10.5281/zenodo.19117399</w:t>
            </w:r>
          </w:p>
        </w:tc>
        <w:tc>
          <w:tcPr>
            <w:tcW w:type="dxa" w:w="3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7"/>
                <w:szCs w:val="17"/>
              </w:rPr>
              <w:t xml:space="preserve">Published</w:t>
            </w:r>
          </w:p>
        </w:tc>
      </w:tr>
      <w:tr>
        <w:tc>
          <w:tcPr>
            <w:tcW w:type="dxa" w:w="2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NASA</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Moon Base Architecture contribution submitted; Enceladus proposal in preparation</w:t>
            </w:r>
          </w:p>
        </w:tc>
        <w:tc>
          <w:tcPr>
            <w:tcW w:type="dxa" w:w="3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7"/>
                <w:szCs w:val="17"/>
              </w:rPr>
              <w:t xml:space="preserve">In progress</w:t>
            </w:r>
          </w:p>
        </w:tc>
      </w:tr>
      <w:tr>
        <w:tc>
          <w:tcPr>
            <w:tcW w:type="dxa" w:w="2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WorldQuant Brain</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2 alphas ACTIVE in IQC — Sharpe 2.43, Fitness 1.84</w:t>
            </w:r>
          </w:p>
        </w:tc>
        <w:tc>
          <w:tcPr>
            <w:tcW w:type="dxa" w:w="3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7"/>
                <w:szCs w:val="17"/>
              </w:rPr>
              <w:t xml:space="preserve">Live</w:t>
            </w:r>
          </w:p>
        </w:tc>
      </w:tr>
    </w:tbl>
    <w:p>
      <w:pPr>
        <w:spacing w:after="0" w:before="100"/>
      </w:pPr>
    </w:p>
    <w:p>
      <w:pPr>
        <w:spacing w:after="0" w:before="220"/>
      </w:pPr>
    </w:p>
    <w:p>
      <w:pPr>
        <w:spacing w:after="60" w:before="0"/>
      </w:pPr>
      <w:r>
        <w:rPr>
          <w:rFonts w:ascii="Arial" w:cs="Arial" w:eastAsia="Arial" w:hAnsi="Arial"/>
          <w:b/>
          <w:bCs/>
          <w:color w:val="0a1628"/>
          <w:spacing w:val="40"/>
          <w:sz w:val="20"/>
          <w:szCs w:val="20"/>
        </w:rPr>
        <w:t xml:space="preserve">WHERE THE WORK LIVES</w:t>
      </w:r>
    </w:p>
    <w:p>
      <w:pPr>
        <w:pBdr>
          <w:bottom w:val="single" w:color="2a7f7f" w:sz="7" w:space="1"/>
        </w:pBdr>
        <w:spacing w:after="80" w:before="0"/>
      </w:pP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200"/>
      </w:tblGrid>
      <w:tr>
        <w:trPr>
          <w:tblHeader/>
        </w:trPr>
        <w:tc>
          <w:tcPr>
            <w:tcW w:type="dxa" w:w="22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Repository</w:t>
            </w:r>
          </w:p>
        </w:tc>
        <w:tc>
          <w:tcPr>
            <w:tcW w:type="dxa" w:w="46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Contents</w:t>
            </w:r>
          </w:p>
        </w:tc>
        <w:tc>
          <w:tcPr>
            <w:tcW w:type="dxa" w:w="32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URL</w:t>
            </w:r>
          </w:p>
        </w:tc>
      </w:tr>
      <w:tr>
        <w:tc>
          <w:tcPr>
            <w:tcW w:type="dxa" w:w="2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TOTOGT/AXLE</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Main hub: Lean 4 proofs, 100+ HTML chapters, simulations, all papers</w:t>
            </w:r>
          </w:p>
        </w:tc>
        <w:tc>
          <w:tcPr>
            <w:tcW w:type="dxa" w:w="3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7"/>
                <w:szCs w:val="17"/>
              </w:rPr>
              <w:t xml:space="preserve">github.com/TOTOGT/AXLE</w:t>
            </w:r>
          </w:p>
        </w:tc>
      </w:tr>
      <w:tr>
        <w:tc>
          <w:tcPr>
            <w:tcW w:type="dxa" w:w="2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TOTOGT/GTCT</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GTCT / Ring 5: operators, dm³ simulation, SBM Bienal materials</w:t>
            </w:r>
          </w:p>
        </w:tc>
        <w:tc>
          <w:tcPr>
            <w:tcW w:type="dxa" w:w="3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7"/>
                <w:szCs w:val="17"/>
              </w:rPr>
              <w:t xml:space="preserve">github.com/TOTOGT/GTCT</w:t>
            </w:r>
          </w:p>
        </w:tc>
      </w:tr>
      <w:tr>
        <w:tc>
          <w:tcPr>
            <w:tcW w:type="dxa" w:w="2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TOTOGT/DM3-lab</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dm³ lab: acoustic soundworks, Millennium Problems, numerics</w:t>
            </w:r>
          </w:p>
        </w:tc>
        <w:tc>
          <w:tcPr>
            <w:tcW w:type="dxa" w:w="3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7"/>
                <w:szCs w:val="17"/>
              </w:rPr>
              <w:t xml:space="preserve">github.com/TOTOGT/DM3-lab</w:t>
            </w:r>
          </w:p>
        </w:tc>
      </w:tr>
      <w:tr>
        <w:tc>
          <w:tcPr>
            <w:tcW w:type="dxa" w:w="2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grossi-ops/B3 (private)</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Laᴛᴇᴼ source for all volumes — peer reviewers on request</w:t>
            </w:r>
          </w:p>
        </w:tc>
        <w:tc>
          <w:tcPr>
            <w:tcW w:type="dxa" w:w="3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7"/>
                <w:szCs w:val="17"/>
              </w:rPr>
              <w:t xml:space="preserve">grossi-ops.github.io/B3</w:t>
            </w:r>
          </w:p>
        </w:tc>
      </w:tr>
      <w:tr>
        <w:tc>
          <w:tcPr>
            <w:tcW w:type="dxa" w:w="2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totogt.github.io/AXLE</w:t>
            </w:r>
          </w:p>
        </w:tc>
        <w:tc>
          <w:tcPr>
            <w:tcW w:type="dxa" w:w="4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Live HTML book and simulations — all chapters, all sound machines</w:t>
            </w:r>
          </w:p>
        </w:tc>
        <w:tc>
          <w:tcPr>
            <w:tcW w:type="dxa" w:w="32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546e7a"/>
                <w:sz w:val="17"/>
                <w:szCs w:val="17"/>
              </w:rPr>
              <w:t xml:space="preserve">totogt.github.io/AXLE/</w:t>
            </w:r>
          </w:p>
        </w:tc>
      </w:tr>
    </w:tbl>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400"/>
      </w:tblGrid>
      <w:tr>
        <w:trPr>
          <w:tblHeader/>
        </w:trPr>
        <w:tc>
          <w:tcPr>
            <w:tcW w:type="dxa" w:w="20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Record</w:t>
            </w:r>
          </w:p>
        </w:tc>
        <w:tc>
          <w:tcPr>
            <w:tcW w:type="dxa" w:w="26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DOI</w:t>
            </w:r>
          </w:p>
        </w:tc>
        <w:tc>
          <w:tcPr>
            <w:tcW w:type="dxa" w:w="54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Contents</w:t>
            </w:r>
          </w:p>
        </w:tc>
      </w:tr>
      <w:tr>
        <w:tc>
          <w:tcPr>
            <w:tcW w:type="dxa" w:w="20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0a1628"/>
                <w:sz w:val="17"/>
                <w:szCs w:val="17"/>
              </w:rPr>
              <w:t xml:space="preserve">Series root</w:t>
            </w:r>
          </w:p>
        </w:tc>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10.5281/zenodo.19117399</w:t>
            </w:r>
          </w:p>
        </w:tc>
        <w:tc>
          <w:tcPr>
            <w:tcW w:type="dxa" w:w="5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All volumes — concept DOI</w:t>
            </w:r>
          </w:p>
        </w:tc>
      </w:tr>
      <w:tr>
        <w:tc>
          <w:tcPr>
            <w:tcW w:type="dxa" w:w="20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0a1628"/>
                <w:sz w:val="17"/>
                <w:szCs w:val="17"/>
              </w:rPr>
              <w:t xml:space="preserve">Vol. I v3</w:t>
            </w:r>
          </w:p>
        </w:tc>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10.5281/zenodo.20298665</w:t>
            </w:r>
          </w:p>
        </w:tc>
        <w:tc>
          <w:tcPr>
            <w:tcW w:type="dxa" w:w="5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Operator algebra, Lean 4, 7 figures</w:t>
            </w:r>
          </w:p>
        </w:tc>
      </w:tr>
      <w:tr>
        <w:tc>
          <w:tcPr>
            <w:tcW w:type="dxa" w:w="20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0a1628"/>
                <w:sz w:val="17"/>
                <w:szCs w:val="17"/>
              </w:rPr>
              <w:t xml:space="preserve">Vol. II v2a</w:t>
            </w:r>
          </w:p>
        </w:tc>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10.5281/zenodo.20159456</w:t>
            </w:r>
          </w:p>
        </w:tc>
        <w:tc>
          <w:tcPr>
            <w:tcW w:type="dxa" w:w="5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Contact geometry, Mini-Beast companion</w:t>
            </w:r>
          </w:p>
        </w:tc>
      </w:tr>
      <w:tr>
        <w:tc>
          <w:tcPr>
            <w:tcW w:type="dxa" w:w="20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0a1628"/>
                <w:sz w:val="17"/>
                <w:szCs w:val="17"/>
              </w:rPr>
              <w:t xml:space="preserve">GTCT / Ring 5 v3</w:t>
            </w:r>
          </w:p>
        </w:tc>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10.5281/zenodo.20239928</w:t>
            </w:r>
          </w:p>
        </w:tc>
        <w:tc>
          <w:tcPr>
            <w:tcW w:type="dxa" w:w="5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DOP853 integrator, Lean proofs, 0 sorry</w:t>
            </w:r>
          </w:p>
        </w:tc>
      </w:tr>
      <w:tr>
        <w:tc>
          <w:tcPr>
            <w:tcW w:type="dxa" w:w="20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0a1628"/>
                <w:sz w:val="17"/>
                <w:szCs w:val="17"/>
              </w:rPr>
              <w:t xml:space="preserve">Autophagy / Ch.A</w:t>
            </w:r>
          </w:p>
        </w:tc>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10.5281/zenodo.20168812</w:t>
            </w:r>
          </w:p>
        </w:tc>
        <w:tc>
          <w:tcPr>
            <w:tcW w:type="dxa" w:w="5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26 theorems, 0 sorry, full paper</w:t>
            </w:r>
          </w:p>
        </w:tc>
      </w:tr>
      <w:tr>
        <w:tc>
          <w:tcPr>
            <w:tcW w:type="dxa" w:w="20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0a1628"/>
                <w:sz w:val="17"/>
                <w:szCs w:val="17"/>
              </w:rPr>
              <w:t xml:space="preserve">DNLS / Ch.η</w:t>
            </w:r>
          </w:p>
        </w:tc>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10.5281/zenodo.20026942</w:t>
            </w:r>
          </w:p>
        </w:tc>
        <w:tc>
          <w:tcPr>
            <w:tcW w:type="dxa" w:w="5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N-bonacci criticality, Tribonacci</w:t>
            </w:r>
          </w:p>
        </w:tc>
      </w:tr>
      <w:tr>
        <w:tc>
          <w:tcPr>
            <w:tcW w:type="dxa" w:w="20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0a1628"/>
                <w:sz w:val="17"/>
                <w:szCs w:val="17"/>
              </w:rPr>
              <w:t xml:space="preserve">FruitFly / MultiOrbit</w:t>
            </w:r>
          </w:p>
        </w:tc>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10.5281/zenodo.19210136</w:t>
            </w:r>
          </w:p>
        </w:tc>
        <w:tc>
          <w:tcPr>
            <w:tcW w:type="dxa" w:w="5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Connectome dm³</w:t>
            </w:r>
          </w:p>
        </w:tc>
      </w:tr>
      <w:tr>
        <w:tc>
          <w:tcPr>
            <w:tcW w:type="dxa" w:w="20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0a1628"/>
                <w:sz w:val="17"/>
                <w:szCs w:val="17"/>
              </w:rPr>
              <w:t xml:space="preserve">Vols I–II (SSRN)</w:t>
            </w:r>
          </w:p>
        </w:tc>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10.2139/ssrn.6439626</w:t>
            </w:r>
          </w:p>
        </w:tc>
        <w:tc>
          <w:tcPr>
            <w:tcW w:type="dxa" w:w="5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Principia Orthogona Vols I–II</w:t>
            </w:r>
          </w:p>
        </w:tc>
      </w:tr>
      <w:tr>
        <w:tc>
          <w:tcPr>
            <w:tcW w:type="dxa" w:w="20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0a1628"/>
                <w:sz w:val="17"/>
                <w:szCs w:val="17"/>
              </w:rPr>
              <w:t xml:space="preserve">Book 3 (SSRN)</w:t>
            </w:r>
          </w:p>
        </w:tc>
        <w:tc>
          <w:tcPr>
            <w:tcW w:type="dxa" w:w="26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2a7f7f"/>
                <w:sz w:val="17"/>
                <w:szCs w:val="17"/>
              </w:rPr>
              <w:t xml:space="preserve">10.2139/ssrn.6805940</w:t>
            </w:r>
          </w:p>
        </w:tc>
        <w:tc>
          <w:tcPr>
            <w:tcW w:type="dxa" w:w="5400"/>
            <w:tcBorders>
              <w:top w:val="single" w:color="DDDDDD" w:sz="1"/>
              <w:left w:val="single" w:color="DDDDDD" w:sz="1"/>
              <w:bottom w:val="single" w:color="DDDDDD" w:sz="1"/>
              <w:right w:val="single" w:color="DDDDDD" w:sz="1"/>
            </w:tcBorders>
            <w:tcMar>
              <w:top w:type="dxa" w:w="40"/>
              <w:left w:type="dxa" w:w="80"/>
              <w:bottom w:type="dxa" w:w="40"/>
              <w:right w:type="dxa" w:w="80"/>
            </w:tcMar>
          </w:tcPr>
          <w:p>
            <w:r>
              <w:rPr>
                <w:rFonts w:ascii="Arial" w:cs="Arial" w:eastAsia="Arial" w:hAnsi="Arial"/>
                <w:color w:val="111111"/>
                <w:sz w:val="17"/>
                <w:szCs w:val="17"/>
              </w:rPr>
              <w:t xml:space="preserve">The Mini-Beast — Book 3</w:t>
            </w:r>
          </w:p>
        </w:tc>
      </w:tr>
    </w:tbl>
    <w:p>
      <w:pPr>
        <w:spacing w:after="0" w:before="100"/>
      </w:pPr>
    </w:p>
    <w:p>
      <w:pPr>
        <w:spacing w:after="0" w:before="220"/>
      </w:pPr>
    </w:p>
    <w:p>
      <w:pPr>
        <w:spacing w:after="60" w:before="0"/>
      </w:pPr>
      <w:r>
        <w:rPr>
          <w:rFonts w:ascii="Arial" w:cs="Arial" w:eastAsia="Arial" w:hAnsi="Arial"/>
          <w:b/>
          <w:bCs/>
          <w:color w:val="0a1628"/>
          <w:spacing w:val="40"/>
          <w:sz w:val="20"/>
          <w:szCs w:val="20"/>
        </w:rPr>
        <w:t xml:space="preserve">HOW TO GET THE BOOK</w:t>
      </w:r>
    </w:p>
    <w:p>
      <w:pPr>
        <w:pBdr>
          <w:bottom w:val="single" w:color="2a7f7f" w:sz="7" w:space="1"/>
        </w:pBdr>
        <w:spacing w:after="80" w:before="0"/>
      </w:pPr>
    </w:p>
    <w:p>
      <w:pPr>
        <w:spacing w:after="0" w:before="60"/>
      </w:pPr>
    </w:p>
    <w:p>
      <w:pPr>
        <w:spacing w:after="100" w:before="0"/>
        <w:jc w:val="both"/>
      </w:pPr>
      <w:r>
        <w:rPr>
          <w:rFonts w:ascii="Georgia" w:cs="Georgia" w:eastAsia="Georgia" w:hAnsi="Georgia"/>
          <w:color w:val="111111"/>
          <w:sz w:val="20"/>
          <w:szCs w:val="20"/>
        </w:rPr>
        <w:t xml:space="preserve">The Mini-Beast is available at g6llc.gumroad.com. For $30 the buyer receives both the book and an ongoing membership: access to all 30+ HTML chapter files as new domains are verified and added, all seven sound machines, all simulation scripts, and selected material posted to AXLE as the living book grows. This is not a static purchase — the membership grows with the work.</w:t>
      </w:r>
    </w:p>
    <w:p>
      <w:pPr>
        <w:spacing w:after="0" w:before="60"/>
      </w:pPr>
    </w:p>
    <w:p>
      <w:pPr>
        <w:spacing w:after="100" w:before="0"/>
        <w:jc w:val="both"/>
      </w:pPr>
      <w:r>
        <w:rPr>
          <w:rFonts w:ascii="Georgia" w:cs="Georgia" w:eastAsia="Georgia" w:hAnsi="Georgia"/>
          <w:color w:val="111111"/>
          <w:sz w:val="20"/>
          <w:szCs w:val="20"/>
        </w:rPr>
        <w:t xml:space="preserve">The original Laᴛᴇᴼ files for all volumes are held in a private repository at grossi-ops.github.io/B3. This repository is available to peer reviewers and collaborators on request and contains the authoritative source for the formal mathematical typesetting underlying the series.</w:t>
      </w:r>
    </w:p>
    <w:p>
      <w:pPr>
        <w:spacing w:after="0" w:before="60"/>
      </w:pPr>
    </w:p>
    <w:p>
      <w:pPr>
        <w:spacing w:after="0" w:before="220"/>
      </w:pPr>
    </w:p>
    <w:p>
      <w:pPr>
        <w:spacing w:after="60" w:before="0"/>
      </w:pPr>
      <w:r>
        <w:rPr>
          <w:rFonts w:ascii="Arial" w:cs="Arial" w:eastAsia="Arial" w:hAnsi="Arial"/>
          <w:b/>
          <w:bCs/>
          <w:color w:val="0a1628"/>
          <w:spacing w:val="40"/>
          <w:sz w:val="20"/>
          <w:szCs w:val="20"/>
        </w:rPr>
        <w:t xml:space="preserve">THE 16-WEEK PROGRAM</w:t>
      </w:r>
    </w:p>
    <w:p>
      <w:pPr>
        <w:pBdr>
          <w:bottom w:val="single" w:color="2a7f7f" w:sz="7" w:space="1"/>
        </w:pBdr>
        <w:spacing w:after="80" w:before="0"/>
      </w:pPr>
    </w:p>
    <w:p>
      <w:pPr>
        <w:spacing w:after="0" w:before="60"/>
      </w:pPr>
    </w:p>
    <w:p>
      <w:pPr>
        <w:spacing w:after="100" w:before="0"/>
        <w:jc w:val="both"/>
      </w:pPr>
      <w:r>
        <w:rPr>
          <w:rFonts w:ascii="Georgia" w:cs="Georgia" w:eastAsia="Georgia" w:hAnsi="Georgia"/>
          <w:color w:val="111111"/>
          <w:sz w:val="20"/>
          <w:szCs w:val="20"/>
        </w:rPr>
        <w:t xml:space="preserve">The program maps CEFR language levels to TOGT structural levels, ensuring cognitive demand never exceeds linguistic capacity. By Week 16 the student has produced four published, citable scientific works on Zenodo and a machine-checkable claim stub in Lean 4 via AXLE. The pedagogy was accepted at the SBM XII Bienal as “O Princípio do Cajueiro e o Livro Inglês para Pesquisadores Matemáticos via TOGT — uma aplicação do Grand Unified Theory pedagógico.”</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4080"/>
      </w:tblGrid>
      <w:tr>
        <w:trPr>
          <w:tblHeader/>
        </w:trPr>
        <w:tc>
          <w:tcPr>
            <w:tcW w:type="dxa" w:w="14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Phase</w:t>
            </w:r>
          </w:p>
        </w:tc>
        <w:tc>
          <w:tcPr>
            <w:tcW w:type="dxa" w:w="18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Weeks</w:t>
            </w:r>
          </w:p>
        </w:tc>
        <w:tc>
          <w:tcPr>
            <w:tcW w:type="dxa" w:w="280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CEFR</w:t>
            </w:r>
          </w:p>
        </w:tc>
        <w:tc>
          <w:tcPr>
            <w:tcW w:type="dxa" w:w="4080"/>
            <w:tcBorders>
              <w:top w:val="single" w:color="0a1628" w:sz="2"/>
              <w:left w:val="single" w:color="0a1628" w:sz="2"/>
              <w:bottom w:val="single" w:color="0a1628" w:sz="2"/>
              <w:right w:val="single" w:color="0a1628" w:sz="2"/>
            </w:tcBorders>
            <w:shd w:fill="0a1628" w:val="clear"/>
            <w:tcMar>
              <w:top w:type="dxa" w:w="50"/>
              <w:left w:type="dxa" w:w="80"/>
              <w:bottom w:type="dxa" w:w="50"/>
              <w:right w:type="dxa" w:w="80"/>
            </w:tcMar>
          </w:tcPr>
          <w:p>
            <w:r>
              <w:rPr>
                <w:rFonts w:ascii="Arial" w:cs="Arial" w:eastAsia="Arial" w:hAnsi="Arial"/>
                <w:b/>
                <w:bCs/>
                <w:color w:val="FFFFFF"/>
                <w:sz w:val="17"/>
                <w:szCs w:val="17"/>
              </w:rPr>
              <w:t xml:space="preserve">Milestone</w:t>
            </w:r>
          </w:p>
        </w:tc>
      </w:tr>
      <w:tr>
        <w:tc>
          <w:tcPr>
            <w:tcW w:type="dxa" w:w="14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C — Compression</w:t>
            </w:r>
          </w:p>
        </w:tc>
        <w:tc>
          <w:tcPr>
            <w:tcW w:type="dxa" w:w="18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1–4</w:t>
            </w:r>
          </w:p>
        </w:tc>
        <w:tc>
          <w:tcPr>
            <w:tcW w:type="dxa" w:w="28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A1–B1</w:t>
            </w:r>
          </w:p>
        </w:tc>
        <w:tc>
          <w:tcPr>
            <w:tcW w:type="dxa" w:w="408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 Paper 1: Compressed Literature Review (Zenodo DOI)</w:t>
            </w:r>
          </w:p>
        </w:tc>
      </w:tr>
      <w:tr>
        <w:tc>
          <w:tcPr>
            <w:tcW w:type="dxa" w:w="14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K — Curvature</w:t>
            </w:r>
          </w:p>
        </w:tc>
        <w:tc>
          <w:tcPr>
            <w:tcW w:type="dxa" w:w="18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5–8</w:t>
            </w:r>
          </w:p>
        </w:tc>
        <w:tc>
          <w:tcPr>
            <w:tcW w:type="dxa" w:w="28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B1–C1</w:t>
            </w:r>
          </w:p>
        </w:tc>
        <w:tc>
          <w:tcPr>
            <w:tcW w:type="dxa" w:w="408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 Paper 2: Research Proposal (Zenodo + GitHub Pages)</w:t>
            </w:r>
          </w:p>
        </w:tc>
      </w:tr>
      <w:tr>
        <w:tc>
          <w:tcPr>
            <w:tcW w:type="dxa" w:w="14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F — Fold</w:t>
            </w:r>
          </w:p>
        </w:tc>
        <w:tc>
          <w:tcPr>
            <w:tcW w:type="dxa" w:w="18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9–12</w:t>
            </w:r>
          </w:p>
        </w:tc>
        <w:tc>
          <w:tcPr>
            <w:tcW w:type="dxa" w:w="28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C1</w:t>
            </w:r>
          </w:p>
        </w:tc>
        <w:tc>
          <w:tcPr>
            <w:tcW w:type="dxa" w:w="408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 Paper 3: Full IMRaD Preprint (Zenodo)</w:t>
            </w:r>
          </w:p>
        </w:tc>
      </w:tr>
      <w:tr>
        <w:tc>
          <w:tcPr>
            <w:tcW w:type="dxa" w:w="14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U — Unfolding</w:t>
            </w:r>
          </w:p>
        </w:tc>
        <w:tc>
          <w:tcPr>
            <w:tcW w:type="dxa" w:w="18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13–16</w:t>
            </w:r>
          </w:p>
        </w:tc>
        <w:tc>
          <w:tcPr>
            <w:tcW w:type="dxa" w:w="280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D1–D2</w:t>
            </w:r>
          </w:p>
        </w:tc>
        <w:tc>
          <w:tcPr>
            <w:tcW w:type="dxa" w:w="4080"/>
            <w:tcBorders>
              <w:top w:val="single" w:color="DDDDDD" w:sz="1"/>
              <w:left w:val="single" w:color="DDDDDD" w:sz="1"/>
              <w:bottom w:val="single" w:color="DDDDDD" w:sz="1"/>
              <w:right w:val="single" w:color="DDDDDD" w:sz="1"/>
            </w:tcBorders>
            <w:tcMar>
              <w:top w:type="dxa" w:w="50"/>
              <w:left w:type="dxa" w:w="80"/>
              <w:bottom w:type="dxa" w:w="50"/>
              <w:right w:type="dxa" w:w="80"/>
            </w:tcMar>
          </w:tcPr>
          <w:p>
            <w:r>
              <w:rPr>
                <w:rFonts w:ascii="Arial" w:cs="Arial" w:eastAsia="Arial" w:hAnsi="Arial"/>
                <w:color w:val="111111"/>
                <w:sz w:val="18"/>
                <w:szCs w:val="18"/>
              </w:rPr>
              <w:t xml:space="preserve">★★ Paper 4: Reflection + AXLE Lean 4 claim stub</w:t>
            </w:r>
          </w:p>
        </w:tc>
      </w:tr>
    </w:tbl>
    <w:p>
      <w:pPr>
        <w:spacing w:after="0" w:before="100"/>
      </w:pPr>
    </w:p>
    <w:p>
      <w:pPr>
        <w:spacing w:after="60" w:before="80"/>
        <w:jc w:val="center"/>
      </w:pPr>
      <w:r>
        <w:rPr>
          <w:rFonts w:ascii="Georgia" w:cs="Georgia" w:eastAsia="Georgia" w:hAnsi="Georgia"/>
          <w:i/>
          <w:iCs/>
          <w:color w:val="0a1628"/>
          <w:sz w:val="22"/>
          <w:szCs w:val="22"/>
        </w:rPr>
        <w:t xml:space="preserve">The seed is planted. The root holds. The canopy is verifiable.</w:t>
      </w:r>
    </w:p>
    <w:p>
      <w:pPr>
        <w:pBdr>
          <w:bottom w:val="single" w:color="0a1628" w:sz="8" w:space="1"/>
        </w:pBdr>
        <w:spacing w:after="80" w:before="0"/>
      </w:pPr>
    </w:p>
    <w:p>
      <w:pPr>
        <w:spacing w:after="40" w:before="80"/>
        <w:jc w:val="center"/>
      </w:pPr>
      <w:r>
        <w:rPr>
          <w:rFonts w:ascii="Arial" w:cs="Arial" w:eastAsia="Arial" w:hAnsi="Arial"/>
          <w:color w:val="546e7a"/>
          <w:sz w:val="17"/>
          <w:szCs w:val="17"/>
        </w:rPr>
        <w:t xml:space="preserve">ORCID: 0009-0000-6496-2186 · pablogrossi@hotmail.com · G6 LLC · 90 Tiffany Blvd · Newark, New Jersey 07104</w:t>
      </w:r>
    </w:p>
    <w:p>
      <w:pPr>
        <w:spacing w:after="40" w:before="0"/>
        <w:jc w:val="center"/>
      </w:pPr>
      <w:r>
        <w:rPr>
          <w:rFonts w:ascii="Arial" w:cs="Arial" w:eastAsia="Arial" w:hAnsi="Arial"/>
          <w:color w:val="2a7f7f"/>
          <w:sz w:val="17"/>
          <w:szCs w:val="17"/>
        </w:rPr>
        <w:t xml:space="preserve">Series root: 10.5281/zenodo.19117399 · totogt.github.io/AXLE/ · g6llc.gumroad.com ($30) · ISBN 979-8-9954416-6-3</w:t>
      </w:r>
    </w:p>
    <w:p>
      <w:pPr>
        <w:spacing w:after="0" w:before="0"/>
        <w:jc w:val="center"/>
      </w:pPr>
      <w:r>
        <w:rPr>
          <w:rFonts w:ascii="Arial" w:cs="Arial" w:eastAsia="Arial" w:hAnsi="Arial"/>
          <w:color w:val="546e7a"/>
          <w:sz w:val="16"/>
          <w:szCs w:val="16"/>
        </w:rPr>
        <w:t xml:space="preserve">MSC 2020: 37C10 · 37C75 · 53D10 · 92C20 · 91B55 · 53Z99 · CC BY-NC-ND 4.0 (text) · MIT (code)</w:t>
      </w:r>
    </w:p>
    <w:sectPr>
      <w:pgSz w:w="12240" w:h="15840"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2026-05-23T01:41:14.704Z</dcterms:created>
  <dcterms:modified xsi:type="dcterms:W3CDTF">2026-05-23T01:41:14.717Z</dcterms:modified>
</cp:coreProperties>
</file>

<file path=docProps/custom.xml><?xml version="1.0" encoding="utf-8"?>
<Properties xmlns="http://schemas.openxmlformats.org/officeDocument/2006/custom-properties" xmlns:vt="http://schemas.openxmlformats.org/officeDocument/2006/docPropsVTypes"/>
</file>