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RESILIENT NJ</w:t>
      </w:r>
    </w:p>
    <w:p>
      <w:pPr>
        <w:spacing w:after="80" w:before="0"/>
        <w:jc w:val="center"/>
      </w:pPr>
      <w:r>
        <w:rPr>
          <w:rFonts w:ascii="Arial" w:cs="Arial" w:eastAsia="Arial" w:hAnsi="Arial"/>
          <w:b/>
          <w:bCs/>
          <w:color w:val="2E75B6"/>
          <w:sz w:val="30"/>
          <w:szCs w:val="30"/>
        </w:rPr>
        <w:t xml:space="preserve">Regional Resilience Planning Grant</w:t>
      </w:r>
    </w:p>
    <w:p>
      <w:pPr>
        <w:spacing w:after="480" w:before="0"/>
        <w:jc w:val="center"/>
      </w:pPr>
      <w:r>
        <w:rPr>
          <w:rFonts w:ascii="Arial" w:cs="Arial" w:eastAsia="Arial" w:hAnsi="Arial"/>
          <w:color w:val="444444"/>
          <w:sz w:val="22"/>
          <w:szCs w:val="22"/>
        </w:rPr>
        <w:t xml:space="preserve">Application — Deadline July 7, 2026  |  12:00 PM EST</w:t>
      </w:r>
    </w:p>
    <w:p>
      <w:pPr>
        <w:spacing w:after="80" w:before="0"/>
        <w:jc w:val="center"/>
      </w:pPr>
      <w:r>
        <w:rPr>
          <w:rFonts w:ascii="Arial" w:cs="Arial" w:eastAsia="Arial" w:hAnsi="Arial"/>
          <w:b/>
          <w:bCs/>
          <w:color w:val="444444"/>
          <w:sz w:val="24"/>
          <w:szCs w:val="24"/>
        </w:rPr>
        <w:t xml:space="preserve">PROJECT TITLE</w:t>
      </w:r>
    </w:p>
    <w:p>
      <w:pPr>
        <w:spacing w:after="480" w:before="0"/>
        <w:jc w:val="center"/>
      </w:pPr>
      <w:r>
        <w:rPr>
          <w:rFonts w:ascii="Arial" w:cs="Arial" w:eastAsia="Arial" w:hAnsi="Arial"/>
          <w:b/>
          <w:bCs/>
          <w:color w:val="1F4E79"/>
          <w:sz w:val="32"/>
          <w:szCs w:val="32"/>
        </w:rPr>
        <w:t xml:space="preserve">Helical Vortex Energy Harvesters: Self-Organizing Stormwater Systems for
Flood Mitigation and Clean Energy Generation in New Jersey Communities</w:t>
      </w:r>
    </w:p>
    <w:p>
      <w:pPr>
        <w:pBdr>
          <w:bottom w:val="single" w:color="CCCCCC" w:sz="4" w:space="2"/>
        </w:pBdr>
        <w:spacing w:after="120" w:before="120"/>
      </w:pPr>
      <w:r>
        <w:t xml:space="preserve"/>
      </w:r>
    </w:p>
    <w:p>
      <w:pPr>
        <w:spacing w:after="40" w:before="80"/>
        <w:jc w:val="center"/>
      </w:pPr>
      <w:r>
        <w:rPr>
          <w:rFonts w:ascii="Arial" w:cs="Arial" w:eastAsia="Arial" w:hAnsi="Arial"/>
          <w:b/>
          <w:bCs/>
          <w:color w:val="444444"/>
          <w:sz w:val="22"/>
          <w:szCs w:val="22"/>
        </w:rPr>
        <w:t xml:space="preserve">Lead Applicant: </w:t>
      </w:r>
      <w:r>
        <w:rPr>
          <w:rFonts w:ascii="Arial" w:cs="Arial" w:eastAsia="Arial" w:hAnsi="Arial"/>
          <w:sz w:val="22"/>
          <w:szCs w:val="22"/>
        </w:rPr>
        <w:t xml:space="preserve">Pablo Nogueira Grossi</w:t>
      </w:r>
    </w:p>
    <w:p>
      <w:pPr>
        <w:spacing w:after="40" w:before="40"/>
        <w:jc w:val="center"/>
      </w:pPr>
      <w:r>
        <w:rPr>
          <w:rFonts w:ascii="Arial" w:cs="Arial" w:eastAsia="Arial" w:hAnsi="Arial"/>
          <w:b/>
          <w:bCs/>
          <w:color w:val="444444"/>
          <w:sz w:val="22"/>
          <w:szCs w:val="22"/>
        </w:rPr>
        <w:t xml:space="preserve">Organization: </w:t>
      </w:r>
      <w:r>
        <w:rPr>
          <w:rFonts w:ascii="Arial" w:cs="Arial" w:eastAsia="Arial" w:hAnsi="Arial"/>
          <w:sz w:val="22"/>
          <w:szCs w:val="22"/>
        </w:rPr>
        <w:t xml:space="preserve">G6 LLC  |  Newark Wellness Soundworks  |  229 Ballantine Pkwy, Newark, NJ</w:t>
      </w:r>
    </w:p>
    <w:p>
      <w:pPr>
        <w:spacing w:after="40" w:before="40"/>
        <w:jc w:val="center"/>
      </w:pPr>
      <w:r>
        <w:rPr>
          <w:rFonts w:ascii="Arial" w:cs="Arial" w:eastAsia="Arial" w:hAnsi="Arial"/>
          <w:b/>
          <w:bCs/>
          <w:color w:val="444444"/>
          <w:sz w:val="22"/>
          <w:szCs w:val="22"/>
        </w:rPr>
        <w:t xml:space="preserve">ORCID: </w:t>
      </w:r>
      <w:r>
        <w:rPr>
          <w:rFonts w:ascii="Arial" w:cs="Arial" w:eastAsia="Arial" w:hAnsi="Arial"/>
          <w:sz w:val="22"/>
          <w:szCs w:val="22"/>
        </w:rPr>
        <w:t xml:space="preserve">0009-0000-6496-2186  |  Principia Orthogona / TOGT Framework</w:t>
      </w:r>
    </w:p>
    <w:p>
      <w:pPr>
        <w:spacing w:after="480" w:before="40"/>
        <w:jc w:val="center"/>
      </w:pPr>
      <w:r>
        <w:rPr>
          <w:rFonts w:ascii="Arial" w:cs="Arial" w:eastAsia="Arial" w:hAnsi="Arial"/>
          <w:b/>
          <w:bCs/>
          <w:color w:val="444444"/>
          <w:sz w:val="22"/>
          <w:szCs w:val="22"/>
        </w:rPr>
        <w:t xml:space="preserve">Submission: </w:t>
      </w:r>
      <w:r>
        <w:rPr>
          <w:rFonts w:ascii="Arial" w:cs="Arial" w:eastAsia="Arial" w:hAnsi="Arial"/>
          <w:sz w:val="22"/>
          <w:szCs w:val="22"/>
        </w:rPr>
        <w:t xml:space="preserve">resilientnj@dep.nj.gov</w:t>
      </w:r>
    </w:p>
    <w:p>
      <w:pPr>
        <w:pStyle w:val="Heading1"/>
        <w:pBdr>
          <w:bottom w:val="single" w:color="2E75B6" w:sz="8" w:space="4"/>
        </w:pBdr>
        <w:spacing w:after="120" w:before="360"/>
      </w:pPr>
      <w:r>
        <w:rPr>
          <w:rFonts w:ascii="Arial" w:cs="Arial" w:eastAsia="Arial" w:hAnsi="Arial"/>
          <w:b/>
          <w:bCs/>
          <w:color w:val="1F4E79"/>
          <w:sz w:val="32"/>
          <w:szCs w:val="32"/>
        </w:rPr>
        <w:t xml:space="preserve">1. Executive Summary</w:t>
      </w:r>
    </w:p>
    <w:p>
      <w:pPr>
        <w:spacing w:after="80" w:before="80"/>
        <w:jc w:val="both"/>
      </w:pPr>
      <w:r>
        <w:rPr>
          <w:rFonts w:ascii="Arial" w:cs="Arial" w:eastAsia="Arial" w:hAnsi="Arial"/>
          <w:sz w:val="22"/>
          <w:szCs w:val="22"/>
        </w:rPr>
        <w:t xml:space="preserve">New Jersey faces compounding climate threats: rising storm surge, intensifying rainfall, combined sewer overflows, and the sustained economic burden of flood recovery. Traditional hard infrastructure — walls, gates, pumps — responds to water as an adversary. This project proposes a fundamentally different paradigm: engineering systems that harness floodwater energy as a resource, while simultaneously reducing peak surge and runoff damage.</w:t>
      </w:r>
    </w:p>
    <w:p>
      <w:pPr>
        <w:spacing w:after="80" w:before="80"/>
      </w:pPr>
      <w:r>
        <w:t xml:space="preserve"/>
      </w:r>
    </w:p>
    <w:p>
      <w:pPr>
        <w:spacing w:after="80" w:before="80"/>
        <w:jc w:val="both"/>
      </w:pPr>
      <w:r>
        <w:rPr>
          <w:rFonts w:ascii="Arial" w:cs="Arial" w:eastAsia="Arial" w:hAnsi="Arial"/>
          <w:sz w:val="22"/>
          <w:szCs w:val="22"/>
        </w:rPr>
        <w:t xml:space="preserve">The Helical Vortex Energy Harvester (HVEH) is a modular, contact-geometry-optimized system that induces stable helical vortex flow from stormwater or surge-driven inflows, spinning a low-head turbine to generate renewable electricity while dissipating destructive flow energy. The mathematical framework underlying the design — Topographical Orthogonal Generative Theory (TOGT) — draws on contact geometry, catastrophe theory, and operator algebra to guarantee attractor stability, universal design limits, and predictive performance across variable rain intensities.</w:t>
      </w:r>
    </w:p>
    <w:p>
      <w:pPr>
        <w:spacing w:after="80" w:before="80"/>
      </w:pPr>
      <w:r>
        <w:t xml:space="preserve"/>
      </w:r>
    </w:p>
    <w:p>
      <w:pPr>
        <w:spacing w:after="80" w:before="80"/>
        <w:jc w:val="both"/>
      </w:pPr>
      <w:r>
        <w:rPr>
          <w:rFonts w:ascii="Arial" w:cs="Arial" w:eastAsia="Arial" w:hAnsi="Arial"/>
          <w:sz w:val="22"/>
          <w:szCs w:val="22"/>
        </w:rPr>
        <w:t xml:space="preserve">This planning grant will fund feasibility modeling, stakeholder engagement, community co-design, and a preliminary engineering roadmap for Newark and the surrounding region — positioning NJ at the forefront of generative flood resilience innovation.</w:t>
      </w:r>
    </w:p>
    <w:p>
      <w:pPr>
        <w:spacing w:after="80" w:before="80"/>
      </w:pPr>
      <w:r>
        <w:t xml:space="preserve"/>
      </w:r>
    </w:p>
    <w:p>
      <w:pPr>
        <w:spacing w:after="40" w:before="80"/>
      </w:pPr>
      <w:r>
        <w:rPr>
          <w:rFonts w:ascii="Arial" w:cs="Arial" w:eastAsia="Arial" w:hAnsi="Arial"/>
          <w:b/>
          <w:bCs/>
          <w:sz w:val="22"/>
          <w:szCs w:val="22"/>
        </w:rPr>
        <w:t xml:space="preserve">Funding Requested: </w:t>
      </w:r>
      <w:r>
        <w:rPr>
          <w:rFonts w:ascii="Arial" w:cs="Arial" w:eastAsia="Arial" w:hAnsi="Arial"/>
          <w:sz w:val="22"/>
          <w:szCs w:val="22"/>
        </w:rPr>
        <w:t xml:space="preserve">$[Amount] for 12-month planning phase</w:t>
      </w:r>
    </w:p>
    <w:p>
      <w:pPr>
        <w:spacing w:after="40" w:before="40"/>
      </w:pPr>
      <w:r>
        <w:rPr>
          <w:rFonts w:ascii="Arial" w:cs="Arial" w:eastAsia="Arial" w:hAnsi="Arial"/>
          <w:b/>
          <w:bCs/>
          <w:sz w:val="22"/>
          <w:szCs w:val="22"/>
        </w:rPr>
        <w:t xml:space="preserve">Region: </w:t>
      </w:r>
      <w:r>
        <w:rPr>
          <w:rFonts w:ascii="Arial" w:cs="Arial" w:eastAsia="Arial" w:hAnsi="Arial"/>
          <w:sz w:val="22"/>
          <w:szCs w:val="22"/>
        </w:rPr>
        <w:t xml:space="preserve">[Lead Municipality + 2 contiguous partners — e.g., Newark, Elizabeth, Harrison]</w:t>
      </w:r>
    </w:p>
    <w:p>
      <w:pPr>
        <w:spacing w:after="80" w:before="40"/>
      </w:pPr>
      <w:r>
        <w:rPr>
          <w:rFonts w:ascii="Arial" w:cs="Arial" w:eastAsia="Arial" w:hAnsi="Arial"/>
          <w:b/>
          <w:bCs/>
          <w:sz w:val="22"/>
          <w:szCs w:val="22"/>
        </w:rPr>
        <w:t xml:space="preserve">Key Outcomes: </w:t>
      </w:r>
      <w:r>
        <w:rPr>
          <w:rFonts w:ascii="Arial" w:cs="Arial" w:eastAsia="Arial" w:hAnsi="Arial"/>
          <w:sz w:val="22"/>
          <w:szCs w:val="22"/>
        </w:rPr>
        <w:t xml:space="preserve">Feasibility study, community plan, site recommendations, CFD/contact-geometry simulations, cost-benefit analysis, implementation roadmap.</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Statement of Need</w:t>
      </w:r>
    </w:p>
    <w:p>
      <w:pPr>
        <w:spacing w:after="80" w:before="80"/>
        <w:jc w:val="both"/>
      </w:pPr>
      <w:r>
        <w:rPr>
          <w:rFonts w:ascii="Arial" w:cs="Arial" w:eastAsia="Arial" w:hAnsi="Arial"/>
          <w:sz w:val="22"/>
          <w:szCs w:val="22"/>
        </w:rPr>
        <w:t xml:space="preserve">Newark and its neighboring municipalities occupy one of the most flood-vulnerable corridors in the northeastern United States. The convergence of the Passaic and Hackensack rivers, proximity to Newark Bay, and aging combined sewer infrastructure create conditions for repeated, damaging flood events driven by both storm surge and heavy rain.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The Climate Risk Landscape</w:t>
      </w:r>
    </w:p>
    <w:p>
      <w:pPr>
        <w:pStyle w:val="ListParagraph"/>
        <w:numPr>
          <w:ilvl w:val="0"/>
          <w:numId w:val="2"/>
        </w:numPr>
        <w:spacing w:after="40" w:before="40"/>
      </w:pPr>
      <w:r>
        <w:rPr>
          <w:rFonts w:ascii="Arial" w:cs="Arial" w:eastAsia="Arial" w:hAnsi="Arial"/>
          <w:sz w:val="22"/>
          <w:szCs w:val="22"/>
        </w:rPr>
        <w:t xml:space="preserve">Sea-level rise of 1–2 ft projected by 2050 increases baseline surge risk across Newark Bay and the Raritan estuary.</w:t>
      </w:r>
    </w:p>
    <w:p>
      <w:pPr>
        <w:pStyle w:val="ListParagraph"/>
        <w:numPr>
          <w:ilvl w:val="0"/>
          <w:numId w:val="2"/>
        </w:numPr>
        <w:spacing w:after="40" w:before="40"/>
      </w:pPr>
      <w:r>
        <w:rPr>
          <w:rFonts w:ascii="Arial" w:cs="Arial" w:eastAsia="Arial" w:hAnsi="Arial"/>
          <w:sz w:val="22"/>
          <w:szCs w:val="22"/>
        </w:rPr>
        <w:t xml:space="preserve">Extreme precipitation events (3"+ in under 3 hours) overwhelm combined sewers, causing localized street and basement flooding throughout Newark, Elizabeth, and Harrison.</w:t>
      </w:r>
    </w:p>
    <w:p>
      <w:pPr>
        <w:pStyle w:val="ListParagraph"/>
        <w:numPr>
          <w:ilvl w:val="0"/>
          <w:numId w:val="2"/>
        </w:numPr>
        <w:spacing w:after="40" w:before="40"/>
      </w:pPr>
      <w:r>
        <w:rPr>
          <w:rFonts w:ascii="Arial" w:cs="Arial" w:eastAsia="Arial" w:hAnsi="Arial"/>
          <w:sz w:val="22"/>
          <w:szCs w:val="22"/>
        </w:rPr>
        <w:t xml:space="preserve">Post-Sandy recovery costs in the region exceeded $36 billion; Ida (2021) killed 27 NJ residents, primarily from urban flooding.</w:t>
      </w:r>
    </w:p>
    <w:p>
      <w:pPr>
        <w:pStyle w:val="ListParagraph"/>
        <w:numPr>
          <w:ilvl w:val="0"/>
          <w:numId w:val="2"/>
        </w:numPr>
        <w:spacing w:after="40" w:before="40"/>
      </w:pPr>
      <w:r>
        <w:rPr>
          <w:rFonts w:ascii="Arial" w:cs="Arial" w:eastAsia="Arial" w:hAnsi="Arial"/>
          <w:sz w:val="22"/>
          <w:szCs w:val="22"/>
        </w:rPr>
        <w:t xml:space="preserve">Over 40% of Newark's population lives in FEMA-designated Special Flood Hazard Areas or their immediate margins.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The Innovation Gap</w:t>
      </w:r>
    </w:p>
    <w:p>
      <w:pPr>
        <w:spacing w:after="80" w:before="80"/>
        <w:jc w:val="both"/>
      </w:pPr>
      <w:r>
        <w:rPr>
          <w:rFonts w:ascii="Arial" w:cs="Arial" w:eastAsia="Arial" w:hAnsi="Arial"/>
          <w:sz w:val="22"/>
          <w:szCs w:val="22"/>
        </w:rPr>
        <w:t xml:space="preserve">Current flood models — Navier-Stokes solvers, SWMM, HEC-RAS — capture average flow conditions but systematically fail to predict threshold phenomena: the sudden transition from manageable runoff to catastrophic inundation. These are bifurcation events, not linear processes. They are governed by operator order, nonlinear self-interaction, and the geometry of the flow's attractor landscape.</w:t>
      </w:r>
    </w:p>
    <w:p>
      <w:pPr>
        <w:spacing w:after="80" w:before="80"/>
      </w:pPr>
      <w:r>
        <w:t xml:space="preserve"/>
      </w:r>
    </w:p>
    <w:p>
      <w:pPr>
        <w:spacing w:after="80" w:before="80"/>
        <w:jc w:val="both"/>
      </w:pPr>
      <w:r>
        <w:rPr>
          <w:rFonts w:ascii="Arial" w:cs="Arial" w:eastAsia="Arial" w:hAnsi="Arial"/>
          <w:sz w:val="22"/>
          <w:szCs w:val="22"/>
        </w:rPr>
        <w:t xml:space="preserve">No current NJ flood resilience program employs contact-geometric attractor analysis or operator-ordering theory to predict, prevent, or harness these transitions. This project fills that gap — with a solution that also generates clean energy.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The Equity Dimension</w:t>
      </w:r>
    </w:p>
    <w:p>
      <w:pPr>
        <w:spacing w:after="80" w:before="80"/>
        <w:jc w:val="both"/>
      </w:pPr>
      <w:r>
        <w:rPr>
          <w:rFonts w:ascii="Arial" w:cs="Arial" w:eastAsia="Arial" w:hAnsi="Arial"/>
          <w:sz w:val="22"/>
          <w:szCs w:val="22"/>
        </w:rPr>
        <w:t xml:space="preserve">Overburdened communities in Newark's South and East Wards bear disproportionate flood risk and energy cost burdens. The HVEH model addresses both simultaneously: reducing flood peaks in vulnerable neighborhoods while generating local electricity to offset pump and recovery costs, creating green jobs, and producing community-owned infrastructure.</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Project Description and Innovation</w:t>
      </w:r>
    </w:p>
    <w:p>
      <w:pPr>
        <w:pStyle w:val="Heading2"/>
        <w:spacing w:after="80" w:before="240"/>
      </w:pPr>
      <w:r>
        <w:rPr>
          <w:rFonts w:ascii="Arial" w:cs="Arial" w:eastAsia="Arial" w:hAnsi="Arial"/>
          <w:b/>
          <w:bCs/>
          <w:color w:val="2E75B6"/>
          <w:sz w:val="26"/>
          <w:szCs w:val="26"/>
        </w:rPr>
        <w:t xml:space="preserve">3.1  The Helical Vortex Energy Harvester (HVEH)</w:t>
      </w:r>
    </w:p>
    <w:p>
      <w:pPr>
        <w:spacing w:after="80" w:before="80"/>
        <w:jc w:val="both"/>
      </w:pPr>
      <w:r>
        <w:rPr>
          <w:rFonts w:ascii="Arial" w:cs="Arial" w:eastAsia="Arial" w:hAnsi="Arial"/>
          <w:sz w:val="22"/>
          <w:szCs w:val="22"/>
        </w:rPr>
        <w:t xml:space="preserve">The HVEH is a modular hydrokinetic system that channels stormwater or surge-driven flow tangentially into a circular basin, inducing a stable helical vortex — a self-organizing, rotating water column whose energy is extracted by a vertical-axis low-head turbine. The system:</w:t>
      </w:r>
    </w:p>
    <w:p>
      <w:pPr>
        <w:pStyle w:val="ListParagraph"/>
        <w:numPr>
          <w:ilvl w:val="0"/>
          <w:numId w:val="2"/>
        </w:numPr>
        <w:spacing w:after="40" w:before="40"/>
      </w:pPr>
      <w:r>
        <w:rPr>
          <w:rFonts w:ascii="Arial" w:cs="Arial" w:eastAsia="Arial" w:hAnsi="Arial"/>
          <w:sz w:val="22"/>
          <w:szCs w:val="22"/>
        </w:rPr>
        <w:t xml:space="preserve">Reduces peak flood flows by 20–50% through energy dissipation and controlled, time-delayed release.</w:t>
      </w:r>
    </w:p>
    <w:p>
      <w:pPr>
        <w:pStyle w:val="ListParagraph"/>
        <w:numPr>
          <w:ilvl w:val="0"/>
          <w:numId w:val="2"/>
        </w:numPr>
        <w:spacing w:after="40" w:before="40"/>
      </w:pPr>
      <w:r>
        <w:rPr>
          <w:rFonts w:ascii="Arial" w:cs="Arial" w:eastAsia="Arial" w:hAnsi="Arial"/>
          <w:sz w:val="22"/>
          <w:szCs w:val="22"/>
        </w:rPr>
        <w:t xml:space="preserve">Generates 15–500 kW per module (scale-dependent) during storm events — exactly when grid stress is highest.</w:t>
      </w:r>
    </w:p>
    <w:p>
      <w:pPr>
        <w:pStyle w:val="ListParagraph"/>
        <w:numPr>
          <w:ilvl w:val="0"/>
          <w:numId w:val="2"/>
        </w:numPr>
        <w:spacing w:after="40" w:before="40"/>
      </w:pPr>
      <w:r>
        <w:rPr>
          <w:rFonts w:ascii="Arial" w:cs="Arial" w:eastAsia="Arial" w:hAnsi="Arial"/>
          <w:sz w:val="22"/>
          <w:szCs w:val="22"/>
        </w:rPr>
        <w:t xml:space="preserve">Operates passively during events, with no external power input required for flood mitigation function.</w:t>
      </w:r>
    </w:p>
    <w:p>
      <w:pPr>
        <w:pStyle w:val="ListParagraph"/>
        <w:numPr>
          <w:ilvl w:val="0"/>
          <w:numId w:val="2"/>
        </w:numPr>
        <w:spacing w:after="40" w:before="40"/>
      </w:pPr>
      <w:r>
        <w:rPr>
          <w:rFonts w:ascii="Arial" w:cs="Arial" w:eastAsia="Arial" w:hAnsi="Arial"/>
          <w:sz w:val="22"/>
          <w:szCs w:val="22"/>
        </w:rPr>
        <w:t xml:space="preserve">Improves water quality through vortex-induced settling of suspended sediments.</w:t>
      </w:r>
    </w:p>
    <w:p>
      <w:pPr>
        <w:pStyle w:val="ListParagraph"/>
        <w:numPr>
          <w:ilvl w:val="0"/>
          <w:numId w:val="2"/>
        </w:numPr>
        <w:spacing w:after="40" w:before="40"/>
      </w:pPr>
      <w:r>
        <w:rPr>
          <w:rFonts w:ascii="Arial" w:cs="Arial" w:eastAsia="Arial" w:hAnsi="Arial"/>
          <w:sz w:val="22"/>
          <w:szCs w:val="22"/>
        </w:rPr>
        <w:t xml:space="preserve">Supports ecological habitat through optional integration with floating wetland surfaces.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The Scientific Foundation: TOGT and Contact Geometry</w:t>
      </w:r>
    </w:p>
    <w:p>
      <w:pPr>
        <w:spacing w:after="80" w:before="80"/>
        <w:jc w:val="both"/>
      </w:pPr>
      <w:r>
        <w:rPr>
          <w:rFonts w:ascii="Arial" w:cs="Arial" w:eastAsia="Arial" w:hAnsi="Arial"/>
          <w:sz w:val="22"/>
          <w:szCs w:val="22"/>
        </w:rPr>
        <w:t xml:space="preserve">The HVEH design is grounded in Topographical Orthogonal Generative Theory (TOGT) — a mathematical framework developed over 25 years and formalized in the Principia Orthogona series. TOGT treats any dynamical system (biological, hydrological, atmospheric) as a set of operators acting on a state manifold, governed by a contact structure that determines which transitions are possible and in which order.</w:t>
      </w:r>
    </w:p>
    <w:p>
      <w:pPr>
        <w:spacing w:after="80" w:before="80"/>
      </w:pPr>
      <w:r>
        <w:t xml:space="preserve"/>
      </w:r>
    </w:p>
    <w:p>
      <w:pPr>
        <w:spacing w:after="80" w:before="80"/>
        <w:jc w:val="both"/>
      </w:pPr>
      <w:r>
        <w:rPr>
          <w:rFonts w:ascii="Arial" w:cs="Arial" w:eastAsia="Arial" w:hAnsi="Arial"/>
          <w:sz w:val="22"/>
          <w:szCs w:val="22"/>
        </w:rPr>
        <w:t xml:space="preserve">For the hydrodynamic case, the framework operates as follows:</w:t>
      </w:r>
    </w:p>
    <w:p>
      <w:pPr>
        <w:spacing w:after="80" w:before="80"/>
      </w:pPr>
      <w:r>
        <w:t xml:space="preserve"/>
      </w:r>
    </w:p>
    <w:p>
      <w:pPr>
        <w:spacing w:after="60" w:before="60"/>
        <w:jc w:val="both"/>
      </w:pPr>
      <w:r>
        <w:rPr>
          <w:rFonts w:ascii="Arial" w:cs="Arial" w:eastAsia="Arial" w:hAnsi="Arial"/>
          <w:b/>
          <w:bCs/>
          <w:color w:val="2E75B6"/>
          <w:sz w:val="22"/>
          <w:szCs w:val="22"/>
        </w:rPr>
        <w:t xml:space="preserve">Contact Form: </w:t>
      </w:r>
      <w:r>
        <w:rPr>
          <w:rFonts w:ascii="Arial" w:cs="Arial" w:eastAsia="Arial" w:hAnsi="Arial"/>
          <w:sz w:val="22"/>
          <w:szCs w:val="22"/>
        </w:rPr>
        <w:t xml:space="preserve">α = dz − p dq, where q = angular phase, p = local vorticity/shear rate, z = effective hydrodynamic potential. This encodes the full geometry of the flow on a 3-dimensional contact manifold.</w:t>
      </w:r>
    </w:p>
    <w:p>
      <w:pPr>
        <w:spacing w:after="60" w:before="60"/>
        <w:jc w:val="both"/>
      </w:pPr>
      <w:r>
        <w:rPr>
          <w:rFonts w:ascii="Arial" w:cs="Arial" w:eastAsia="Arial" w:hAnsi="Arial"/>
          <w:b/>
          <w:bCs/>
          <w:color w:val="2E75B6"/>
          <w:sz w:val="22"/>
          <w:szCs w:val="22"/>
        </w:rPr>
        <w:t xml:space="preserve">Reeb Vector Field: </w:t>
      </w:r>
      <w:r>
        <w:rPr>
          <w:rFonts w:ascii="Arial" w:cs="Arial" w:eastAsia="Arial" w:hAnsi="Arial"/>
          <w:sz w:val="22"/>
          <w:szCs w:val="22"/>
        </w:rPr>
        <w:t xml:space="preserve">R = ∂/∂z generates the persistent helical rotation — the physical drive of the stable vortex. The El Ojo floating island in Argentina's Paraná Delta is a natural example of this attractor: a near-perfectly circular mat that rotates indefinitely on its own axis, stabilized by the same contact dynamics.</w:t>
      </w:r>
    </w:p>
    <w:p>
      <w:pPr>
        <w:spacing w:after="60" w:before="60"/>
        <w:jc w:val="both"/>
      </w:pPr>
      <w:r>
        <w:rPr>
          <w:rFonts w:ascii="Arial" w:cs="Arial" w:eastAsia="Arial" w:hAnsi="Arial"/>
          <w:b/>
          <w:bCs/>
          <w:color w:val="2E75B6"/>
          <w:sz w:val="22"/>
          <w:szCs w:val="22"/>
        </w:rPr>
        <w:t xml:space="preserve">dm³ Curvature Bound: </w:t>
      </w:r>
      <w:r>
        <w:rPr>
          <w:rFonts w:ascii="Arial" w:cs="Arial" w:eastAsia="Arial" w:hAnsi="Arial"/>
          <w:sz w:val="22"/>
          <w:szCs w:val="22"/>
        </w:rPr>
        <w:t xml:space="preserve">μₘₐˣ ≈ −2 limits how sharply vorticity gradients can form before dissipation dominates. This prevents pathological tightening (cavitation, erosion) and pins the sigmoid-like flood response curve — making HVEH performance predictable across the full range of rainfall intensities.</w:t>
      </w:r>
    </w:p>
    <w:p>
      <w:pPr>
        <w:spacing w:after="60" w:before="60"/>
        <w:jc w:val="both"/>
      </w:pPr>
      <w:r>
        <w:rPr>
          <w:rFonts w:ascii="Arial" w:cs="Arial" w:eastAsia="Arial" w:hAnsi="Arial"/>
          <w:b/>
          <w:bCs/>
          <w:color w:val="2E75B6"/>
          <w:sz w:val="22"/>
          <w:szCs w:val="22"/>
        </w:rPr>
        <w:t xml:space="preserve">Operator Non-Commutativity: </w:t>
      </w:r>
      <w:r>
        <w:rPr>
          <w:rFonts w:ascii="Arial" w:cs="Arial" w:eastAsia="Arial" w:hAnsi="Arial"/>
          <w:sz w:val="22"/>
          <w:szCs w:val="22"/>
        </w:rPr>
        <w:t xml:space="preserve">[K, F] ≠ 0. The curvature gate K (basin sills/vanes enforcing safe flow geometry) and the fold operator F (nonlinear vortex self-amplification) do not commute. Deploying them in the correct order — establishing geometry before nonlinear amplification — is the key design insight that locks the system into its stable energy-producing attractor rather than chaotic turbulence.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The Seven-Proofs Framework: Mathematical Rigor Across Scales</w:t>
      </w:r>
    </w:p>
    <w:p>
      <w:pPr>
        <w:spacing w:after="80" w:before="80"/>
        <w:jc w:val="both"/>
      </w:pPr>
      <w:r>
        <w:rPr>
          <w:rFonts w:ascii="Arial" w:cs="Arial" w:eastAsia="Arial" w:hAnsi="Arial"/>
          <w:sz w:val="22"/>
          <w:szCs w:val="22"/>
        </w:rPr>
        <w:t xml:space="preserve">Every design claim is supported by seven independent mathematical proofs — the Principia Orthogona Standard Methodology — ensuring rigor from the molecular to the planetary scale:</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Operator-Algebra Proof: </w:t>
      </w:r>
      <w:r>
        <w:rPr>
          <w:rFonts w:ascii="Arial" w:cs="Arial" w:eastAsia="Arial" w:hAnsi="Arial"/>
          <w:sz w:val="22"/>
          <w:szCs w:val="22"/>
        </w:rPr>
        <w:t xml:space="preserve">Commutator [K,F]ψ = −λ|ψ(η*)|²ψ(η*)·δ(η−η*) localizes non-commutativity at the fold point.</w:t>
      </w:r>
    </w:p>
    <w:p>
      <w:pPr>
        <w:pStyle w:val="ListParagraph"/>
        <w:numPr>
          <w:ilvl w:val="0"/>
          <w:numId w:val="2"/>
        </w:numPr>
        <w:spacing w:after="40" w:before="40"/>
      </w:pPr>
      <w:r>
        <w:rPr>
          <w:rFonts w:ascii="Arial" w:cs="Arial" w:eastAsia="Arial" w:hAnsi="Arial"/>
          <w:b/>
          <w:bCs/>
          <w:sz w:val="22"/>
          <w:szCs w:val="22"/>
        </w:rPr>
        <w:t xml:space="preserve">Distribution-Theoretic Proof: </w:t>
      </w:r>
      <w:r>
        <w:rPr>
          <w:rFonts w:ascii="Arial" w:cs="Arial" w:eastAsia="Arial" w:hAnsi="Arial"/>
          <w:sz w:val="22"/>
          <w:szCs w:val="22"/>
        </w:rPr>
        <w:t xml:space="preserve">Heaviside gate produces unavoidable Dirac delta boundary term encoding irreversibility of the vortex transition.</w:t>
      </w:r>
    </w:p>
    <w:p>
      <w:pPr>
        <w:pStyle w:val="ListParagraph"/>
        <w:numPr>
          <w:ilvl w:val="0"/>
          <w:numId w:val="2"/>
        </w:numPr>
        <w:spacing w:after="40" w:before="40"/>
      </w:pPr>
      <w:r>
        <w:rPr>
          <w:rFonts w:ascii="Arial" w:cs="Arial" w:eastAsia="Arial" w:hAnsi="Arial"/>
          <w:b/>
          <w:bCs/>
          <w:sz w:val="22"/>
          <w:szCs w:val="22"/>
        </w:rPr>
        <w:t xml:space="preserve">Catastrophe-Theory Proof: </w:t>
      </w:r>
      <w:r>
        <w:rPr>
          <w:rFonts w:ascii="Arial" w:cs="Arial" w:eastAsia="Arial" w:hAnsi="Arial"/>
          <w:sz w:val="22"/>
          <w:szCs w:val="22"/>
        </w:rPr>
        <w:t xml:space="preserve">Whitney A₁ normal form V(η;c) = η³/3 − (c−c*)η. Correct operator order corresponds to path in control-state space that crosses the fold into the stable helical basin.</w:t>
      </w:r>
    </w:p>
    <w:p>
      <w:pPr>
        <w:pStyle w:val="ListParagraph"/>
        <w:numPr>
          <w:ilvl w:val="0"/>
          <w:numId w:val="2"/>
        </w:numPr>
        <w:spacing w:after="40" w:before="40"/>
      </w:pPr>
      <w:r>
        <w:rPr>
          <w:rFonts w:ascii="Arial" w:cs="Arial" w:eastAsia="Arial" w:hAnsi="Arial"/>
          <w:b/>
          <w:bCs/>
          <w:sz w:val="22"/>
          <w:szCs w:val="22"/>
        </w:rPr>
        <w:t xml:space="preserve">Contact-Geometric dm³ Proof: </w:t>
      </w:r>
      <w:r>
        <w:rPr>
          <w:rFonts w:ascii="Arial" w:cs="Arial" w:eastAsia="Arial" w:hAnsi="Arial"/>
          <w:sz w:val="22"/>
          <w:szCs w:val="22"/>
        </w:rPr>
        <w:t xml:space="preserve">Maximal non-integrability of ker(α) at the fold. Curvature bound μₘₐˣ = −2 fixes universal sigmoid Hill coefficient n ≈ 3.64 for transition sharpness.</w:t>
      </w:r>
    </w:p>
    <w:p>
      <w:pPr>
        <w:pStyle w:val="ListParagraph"/>
        <w:numPr>
          <w:ilvl w:val="0"/>
          <w:numId w:val="2"/>
        </w:numPr>
        <w:spacing w:after="40" w:before="40"/>
      </w:pPr>
      <w:r>
        <w:rPr>
          <w:rFonts w:ascii="Arial" w:cs="Arial" w:eastAsia="Arial" w:hAnsi="Arial"/>
          <w:b/>
          <w:bCs/>
          <w:sz w:val="22"/>
          <w:szCs w:val="22"/>
        </w:rPr>
        <w:t xml:space="preserve">Spectral/Markov-Generator Proof: </w:t>
      </w:r>
      <w:r>
        <w:rPr>
          <w:rFonts w:ascii="Arial" w:cs="Arial" w:eastAsia="Arial" w:hAnsi="Arial"/>
          <w:sz w:val="22"/>
          <w:szCs w:val="22"/>
        </w:rPr>
        <w:t xml:space="preserve">Discrete state model shows correct operator order creates stable (non-absorbing) rotating attractor; wrong order creates chaotic or locked-off state.</w:t>
      </w:r>
    </w:p>
    <w:p>
      <w:pPr>
        <w:pStyle w:val="ListParagraph"/>
        <w:numPr>
          <w:ilvl w:val="0"/>
          <w:numId w:val="2"/>
        </w:numPr>
        <w:spacing w:after="40" w:before="40"/>
      </w:pPr>
      <w:r>
        <w:rPr>
          <w:rFonts w:ascii="Arial" w:cs="Arial" w:eastAsia="Arial" w:hAnsi="Arial"/>
          <w:b/>
          <w:bCs/>
          <w:sz w:val="22"/>
          <w:szCs w:val="22"/>
        </w:rPr>
        <w:t xml:space="preserve">Numerical/Constructive Proof: </w:t>
      </w:r>
      <w:r>
        <w:rPr>
          <w:rFonts w:ascii="Arial" w:cs="Arial" w:eastAsia="Arial" w:hAnsi="Arial"/>
          <w:sz w:val="22"/>
          <w:szCs w:val="22"/>
        </w:rPr>
        <w:t xml:space="preserve">Grid simulations with explicit operator application confirm P_ON &gt; 0 (stable helical rotation) under correct sequencing and P_ON ≈ 0 otherwise.</w:t>
      </w:r>
    </w:p>
    <w:p>
      <w:pPr>
        <w:pStyle w:val="ListParagraph"/>
        <w:numPr>
          <w:ilvl w:val="0"/>
          <w:numId w:val="2"/>
        </w:numPr>
        <w:spacing w:after="40" w:before="40"/>
      </w:pPr>
      <w:r>
        <w:rPr>
          <w:rFonts w:ascii="Arial" w:cs="Arial" w:eastAsia="Arial" w:hAnsi="Arial"/>
          <w:b/>
          <w:bCs/>
          <w:sz w:val="22"/>
          <w:szCs w:val="22"/>
        </w:rPr>
        <w:t xml:space="preserve">Information-Geometric Proof: </w:t>
      </w:r>
      <w:r>
        <w:rPr>
          <w:rFonts w:ascii="Arial" w:cs="Arial" w:eastAsia="Arial" w:hAnsi="Arial"/>
          <w:sz w:val="22"/>
          <w:szCs w:val="22"/>
        </w:rPr>
        <w:t xml:space="preserve">Flow states on a negatively curved statistical manifold (Fisher metric). Projection and curvature-increasing flows follow non-homotopic geodesics — order determines final attractor.</w:t>
      </w:r>
    </w:p>
    <w:p>
      <w:pPr>
        <w:spacing w:after="80" w:before="80"/>
      </w:pPr>
      <w:r>
        <w:t xml:space="preserve"/>
      </w:r>
    </w:p>
    <w:p>
      <w:pPr>
        <w:spacing w:after="80" w:before="80"/>
        <w:jc w:val="both"/>
      </w:pPr>
      <w:r>
        <w:rPr>
          <w:rFonts w:ascii="Arial" w:cs="Arial" w:eastAsia="Arial" w:hAnsi="Arial"/>
          <w:sz w:val="22"/>
          <w:szCs w:val="22"/>
        </w:rPr>
        <w:t xml:space="preserve">This seven-proof structure ensures that design specifications are not empirical guesses but mathematically derivable consequences of the contact geometry.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3.4  Natural Proof of Concept: El Ojo, Argentina</w:t>
      </w:r>
    </w:p>
    <w:p>
      <w:pPr>
        <w:spacing w:after="80" w:before="80"/>
        <w:jc w:val="both"/>
      </w:pPr>
      <w:r>
        <w:rPr>
          <w:rFonts w:ascii="Arial" w:cs="Arial" w:eastAsia="Arial" w:hAnsi="Arial"/>
          <w:sz w:val="22"/>
          <w:szCs w:val="22"/>
        </w:rPr>
        <w:t xml:space="preserve">El Ojo ('The Eye') is a near-perfectly circular floating vegetation mat approximately 120 meters in diameter in Argentina's Paraná Delta. It rotates slowly but persistently on its own axis — a natural example of a helical Legendrian attractor stabilized by exactly the contact dynamics the HVEH is engineered to replicate. Standard hydrodynamics explains the rotation through Coriolis effects, density gradients, and rotational erosion. The TOGT/contact-geometry lens adds deeper insight: El Ojo is a dm³-bounded Reeb orbit in a self-organized topographic contact manifold. The HVEH is its engineered analogue — designed, not emergent.</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Goals, Objectives, and Expected Outcomes</w:t>
      </w:r>
    </w:p>
    <w:p>
      <w:pPr>
        <w:pStyle w:val="Heading2"/>
        <w:spacing w:after="80" w:before="240"/>
      </w:pPr>
      <w:r>
        <w:rPr>
          <w:rFonts w:ascii="Arial" w:cs="Arial" w:eastAsia="Arial" w:hAnsi="Arial"/>
          <w:b/>
          <w:bCs/>
          <w:color w:val="2E75B6"/>
          <w:sz w:val="26"/>
          <w:szCs w:val="26"/>
        </w:rPr>
        <w:t xml:space="preserve">4.1  Overarching Goal</w:t>
      </w:r>
    </w:p>
    <w:p>
      <w:pPr>
        <w:spacing w:after="80" w:before="80"/>
        <w:jc w:val="both"/>
      </w:pPr>
      <w:r>
        <w:rPr>
          <w:rFonts w:ascii="Arial" w:cs="Arial" w:eastAsia="Arial" w:hAnsi="Arial"/>
          <w:sz w:val="22"/>
          <w:szCs w:val="22"/>
        </w:rPr>
        <w:t xml:space="preserve">Develop a regional resilience plan that incorporates Helical Vortex Energy Harvesters as a scalable, multi-benefit solution for flood mitigation and distributed clean energy generation in Newark and surrounding communities.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Specific Objectives</w:t>
      </w:r>
    </w:p>
    <w:p>
      <w:pPr>
        <w:pStyle w:val="ListParagraph"/>
        <w:numPr>
          <w:ilvl w:val="0"/>
          <w:numId w:val="2"/>
        </w:numPr>
        <w:spacing w:after="40" w:before="40"/>
      </w:pPr>
      <w:r>
        <w:rPr>
          <w:rFonts w:ascii="Arial" w:cs="Arial" w:eastAsia="Arial" w:hAnsi="Arial"/>
          <w:sz w:val="22"/>
          <w:szCs w:val="22"/>
        </w:rPr>
        <w:t xml:space="preserve">Conduct contact-geometry and CFD hydrodynamic modeling for 2–4 candidate HVEH pilot sites in the Newark/Elizabeth/Harrison corridor.</w:t>
      </w:r>
    </w:p>
    <w:p>
      <w:pPr>
        <w:pStyle w:val="ListParagraph"/>
        <w:numPr>
          <w:ilvl w:val="0"/>
          <w:numId w:val="2"/>
        </w:numPr>
        <w:spacing w:after="40" w:before="40"/>
      </w:pPr>
      <w:r>
        <w:rPr>
          <w:rFonts w:ascii="Arial" w:cs="Arial" w:eastAsia="Arial" w:hAnsi="Arial"/>
          <w:sz w:val="22"/>
          <w:szCs w:val="22"/>
        </w:rPr>
        <w:t xml:space="preserve">Engage overburdened communities in co-design and site prioritization.</w:t>
      </w:r>
    </w:p>
    <w:p>
      <w:pPr>
        <w:pStyle w:val="ListParagraph"/>
        <w:numPr>
          <w:ilvl w:val="0"/>
          <w:numId w:val="2"/>
        </w:numPr>
        <w:spacing w:after="40" w:before="40"/>
      </w:pPr>
      <w:r>
        <w:rPr>
          <w:rFonts w:ascii="Arial" w:cs="Arial" w:eastAsia="Arial" w:hAnsi="Arial"/>
          <w:sz w:val="22"/>
          <w:szCs w:val="22"/>
        </w:rPr>
        <w:t xml:space="preserve">Assess technical feasibility, regulatory pathways, and O&amp;M requirements for HVEH deployment.</w:t>
      </w:r>
    </w:p>
    <w:p>
      <w:pPr>
        <w:pStyle w:val="ListParagraph"/>
        <w:numPr>
          <w:ilvl w:val="0"/>
          <w:numId w:val="2"/>
        </w:numPr>
        <w:spacing w:after="40" w:before="40"/>
      </w:pPr>
      <w:r>
        <w:rPr>
          <w:rFonts w:ascii="Arial" w:cs="Arial" w:eastAsia="Arial" w:hAnsi="Arial"/>
          <w:sz w:val="22"/>
          <w:szCs w:val="22"/>
        </w:rPr>
        <w:t xml:space="preserve">Quantify projected flood peak reductions, energy yield, water quality improvements, and equity benefits.</w:t>
      </w:r>
    </w:p>
    <w:p>
      <w:pPr>
        <w:pStyle w:val="ListParagraph"/>
        <w:numPr>
          <w:ilvl w:val="0"/>
          <w:numId w:val="2"/>
        </w:numPr>
        <w:spacing w:after="40" w:before="40"/>
      </w:pPr>
      <w:r>
        <w:rPr>
          <w:rFonts w:ascii="Arial" w:cs="Arial" w:eastAsia="Arial" w:hAnsi="Arial"/>
          <w:sz w:val="22"/>
          <w:szCs w:val="22"/>
        </w:rPr>
        <w:t xml:space="preserve">Produce an actionable implementation roadmap linking this planning phase to Shore Protection Program and USACE funding.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Measurable Outcomes</w:t>
      </w:r>
    </w:p>
    <w:p>
      <w:pPr>
        <w:pStyle w:val="ListParagraph"/>
        <w:numPr>
          <w:ilvl w:val="0"/>
          <w:numId w:val="2"/>
        </w:numPr>
        <w:spacing w:after="40" w:before="40"/>
      </w:pPr>
      <w:r>
        <w:rPr>
          <w:rFonts w:ascii="Arial" w:cs="Arial" w:eastAsia="Arial" w:hAnsi="Arial"/>
          <w:sz w:val="22"/>
          <w:szCs w:val="22"/>
        </w:rPr>
        <w:t xml:space="preserve">Preliminary CFD and contact-geometry simulations for each candidate site (attractor stability, vortex efficiency, μₘₐˣ compliance).</w:t>
      </w:r>
    </w:p>
    <w:p>
      <w:pPr>
        <w:pStyle w:val="ListParagraph"/>
        <w:numPr>
          <w:ilvl w:val="0"/>
          <w:numId w:val="2"/>
        </w:numPr>
        <w:spacing w:after="40" w:before="40"/>
      </w:pPr>
      <w:r>
        <w:rPr>
          <w:rFonts w:ascii="Arial" w:cs="Arial" w:eastAsia="Arial" w:hAnsi="Arial"/>
          <w:sz w:val="22"/>
          <w:szCs w:val="22"/>
        </w:rPr>
        <w:t xml:space="preserve">Community-informed site ranking with equity metrics.</w:t>
      </w:r>
    </w:p>
    <w:p>
      <w:pPr>
        <w:pStyle w:val="ListParagraph"/>
        <w:numPr>
          <w:ilvl w:val="0"/>
          <w:numId w:val="2"/>
        </w:numPr>
        <w:spacing w:after="40" w:before="40"/>
      </w:pPr>
      <w:r>
        <w:rPr>
          <w:rFonts w:ascii="Arial" w:cs="Arial" w:eastAsia="Arial" w:hAnsi="Arial"/>
          <w:sz w:val="22"/>
          <w:szCs w:val="22"/>
        </w:rPr>
        <w:t xml:space="preserve">Cost-benefit analysis: $/kWh generated, $/flood-damage-event-avoided, payback period.</w:t>
      </w:r>
    </w:p>
    <w:p>
      <w:pPr>
        <w:pStyle w:val="ListParagraph"/>
        <w:numPr>
          <w:ilvl w:val="0"/>
          <w:numId w:val="2"/>
        </w:numPr>
        <w:spacing w:after="40" w:before="40"/>
      </w:pPr>
      <w:r>
        <w:rPr>
          <w:rFonts w:ascii="Arial" w:cs="Arial" w:eastAsia="Arial" w:hAnsi="Arial"/>
          <w:sz w:val="22"/>
          <w:szCs w:val="22"/>
        </w:rPr>
        <w:t xml:space="preserve">Regulatory feasibility memo (NJDEP Division of Land Resource Protection, USACE Section 404, coastal zone management).</w:t>
      </w:r>
    </w:p>
    <w:p>
      <w:pPr>
        <w:pStyle w:val="ListParagraph"/>
        <w:numPr>
          <w:ilvl w:val="0"/>
          <w:numId w:val="2"/>
        </w:numPr>
        <w:spacing w:after="40" w:before="40"/>
      </w:pPr>
      <w:r>
        <w:rPr>
          <w:rFonts w:ascii="Arial" w:cs="Arial" w:eastAsia="Arial" w:hAnsi="Arial"/>
          <w:sz w:val="22"/>
          <w:szCs w:val="22"/>
        </w:rPr>
        <w:t xml:space="preserve">Final Regional Resilience Plan document (NOFA-compliant) ready for implementation funding.</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Methodology and Work Plan</w:t>
      </w:r>
    </w:p>
    <w:p>
      <w:pPr>
        <w:pStyle w:val="Heading2"/>
        <w:spacing w:after="80" w:before="240"/>
      </w:pPr>
      <w:r>
        <w:rPr>
          <w:rFonts w:ascii="Arial" w:cs="Arial" w:eastAsia="Arial" w:hAnsi="Arial"/>
          <w:b/>
          <w:bCs/>
          <w:color w:val="2E75B6"/>
          <w:sz w:val="26"/>
          <w:szCs w:val="26"/>
        </w:rPr>
        <w:t xml:space="preserve">Phase 1 — Baseline and Site Identification (Months 1–3)</w:t>
      </w:r>
    </w:p>
    <w:p>
      <w:pPr>
        <w:pStyle w:val="ListParagraph"/>
        <w:numPr>
          <w:ilvl w:val="0"/>
          <w:numId w:val="2"/>
        </w:numPr>
        <w:spacing w:after="40" w:before="40"/>
      </w:pPr>
      <w:r>
        <w:rPr>
          <w:rFonts w:ascii="Arial" w:cs="Arial" w:eastAsia="Arial" w:hAnsi="Arial"/>
          <w:sz w:val="22"/>
          <w:szCs w:val="22"/>
        </w:rPr>
        <w:t xml:space="preserve">Compile flood risk data: FEMA FIRM maps, NJ Flood Mapper, NOAA tidal gauge records, Passaic River gauge data, combined sewer overflow records.</w:t>
      </w:r>
    </w:p>
    <w:p>
      <w:pPr>
        <w:pStyle w:val="ListParagraph"/>
        <w:numPr>
          <w:ilvl w:val="0"/>
          <w:numId w:val="2"/>
        </w:numPr>
        <w:spacing w:after="40" w:before="40"/>
      </w:pPr>
      <w:r>
        <w:rPr>
          <w:rFonts w:ascii="Arial" w:cs="Arial" w:eastAsia="Arial" w:hAnsi="Arial"/>
          <w:sz w:val="22"/>
          <w:szCs w:val="22"/>
        </w:rPr>
        <w:t xml:space="preserve">Identify candidate HVEH sites: stormwater outfalls, retention basins, tidal channels, harbor edge features with 1.5–5 m available head.</w:t>
      </w:r>
    </w:p>
    <w:p>
      <w:pPr>
        <w:pStyle w:val="ListParagraph"/>
        <w:numPr>
          <w:ilvl w:val="0"/>
          <w:numId w:val="2"/>
        </w:numPr>
        <w:spacing w:after="40" w:before="40"/>
      </w:pPr>
      <w:r>
        <w:rPr>
          <w:rFonts w:ascii="Arial" w:cs="Arial" w:eastAsia="Arial" w:hAnsi="Arial"/>
          <w:sz w:val="22"/>
          <w:szCs w:val="22"/>
        </w:rPr>
        <w:t xml:space="preserve">Review existing USACE NY-NJ Harbor &amp; Tributaries Study, East Side Coastal Resiliency data, and Rebuild by Design prior work for alignment.</w:t>
      </w:r>
    </w:p>
    <w:p>
      <w:pPr>
        <w:pStyle w:val="ListParagraph"/>
        <w:numPr>
          <w:ilvl w:val="0"/>
          <w:numId w:val="2"/>
        </w:numPr>
        <w:spacing w:after="40" w:before="40"/>
      </w:pPr>
      <w:r>
        <w:rPr>
          <w:rFonts w:ascii="Arial" w:cs="Arial" w:eastAsia="Arial" w:hAnsi="Arial"/>
          <w:sz w:val="22"/>
          <w:szCs w:val="22"/>
        </w:rPr>
        <w:t xml:space="preserve">First stakeholder convening: community introductions, baseline survey, equity mapping.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2 — Modeling and Technical Analysis (Months 4–8)</w:t>
      </w:r>
    </w:p>
    <w:p>
      <w:pPr>
        <w:pStyle w:val="ListParagraph"/>
        <w:numPr>
          <w:ilvl w:val="0"/>
          <w:numId w:val="2"/>
        </w:numPr>
        <w:spacing w:after="40" w:before="40"/>
      </w:pPr>
      <w:r>
        <w:rPr>
          <w:rFonts w:ascii="Arial" w:cs="Arial" w:eastAsia="Arial" w:hAnsi="Arial"/>
          <w:sz w:val="22"/>
          <w:szCs w:val="22"/>
        </w:rPr>
        <w:t xml:space="preserve">Implement simplified contact-geometry vortex models (α = dz − p dq; Reeb field tracking) for each site.</w:t>
      </w:r>
    </w:p>
    <w:p>
      <w:pPr>
        <w:pStyle w:val="ListParagraph"/>
        <w:numPr>
          <w:ilvl w:val="0"/>
          <w:numId w:val="2"/>
        </w:numPr>
        <w:spacing w:after="40" w:before="40"/>
      </w:pPr>
      <w:r>
        <w:rPr>
          <w:rFonts w:ascii="Arial" w:cs="Arial" w:eastAsia="Arial" w:hAnsi="Arial"/>
          <w:sz w:val="22"/>
          <w:szCs w:val="22"/>
        </w:rPr>
        <w:t xml:space="preserve">Develop CFD simulations (OpenFOAM or equivalent) validating helical attractor stability under variable inflow conditions.</w:t>
      </w:r>
    </w:p>
    <w:p>
      <w:pPr>
        <w:pStyle w:val="ListParagraph"/>
        <w:numPr>
          <w:ilvl w:val="0"/>
          <w:numId w:val="2"/>
        </w:numPr>
        <w:spacing w:after="40" w:before="40"/>
      </w:pPr>
      <w:r>
        <w:rPr>
          <w:rFonts w:ascii="Arial" w:cs="Arial" w:eastAsia="Arial" w:hAnsi="Arial"/>
          <w:sz w:val="22"/>
          <w:szCs w:val="22"/>
        </w:rPr>
        <w:t xml:space="preserve">Apply Seven-Proofs operator analysis to confirm correct K→F sequencing for each site geometry.</w:t>
      </w:r>
    </w:p>
    <w:p>
      <w:pPr>
        <w:pStyle w:val="ListParagraph"/>
        <w:numPr>
          <w:ilvl w:val="0"/>
          <w:numId w:val="2"/>
        </w:numPr>
        <w:spacing w:after="40" w:before="40"/>
      </w:pPr>
      <w:r>
        <w:rPr>
          <w:rFonts w:ascii="Arial" w:cs="Arial" w:eastAsia="Arial" w:hAnsi="Arial"/>
          <w:sz w:val="22"/>
          <w:szCs w:val="22"/>
        </w:rPr>
        <w:t xml:space="preserve">Quantify flood peak attenuation (%), turbine power output (kWh/event), and attractor robustness metrics.</w:t>
      </w:r>
    </w:p>
    <w:p>
      <w:pPr>
        <w:pStyle w:val="ListParagraph"/>
        <w:numPr>
          <w:ilvl w:val="0"/>
          <w:numId w:val="2"/>
        </w:numPr>
        <w:spacing w:after="40" w:before="40"/>
      </w:pPr>
      <w:r>
        <w:rPr>
          <w:rFonts w:ascii="Arial" w:cs="Arial" w:eastAsia="Arial" w:hAnsi="Arial"/>
          <w:sz w:val="22"/>
          <w:szCs w:val="22"/>
        </w:rPr>
        <w:t xml:space="preserve">Sensitivity analysis: performance under 10-year, 50-year, and 100-year storm scenarios.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3 — Community Engagement, Plan Development, and Deliverables (Months 9–12)</w:t>
      </w:r>
    </w:p>
    <w:p>
      <w:pPr>
        <w:pStyle w:val="ListParagraph"/>
        <w:numPr>
          <w:ilvl w:val="0"/>
          <w:numId w:val="2"/>
        </w:numPr>
        <w:spacing w:after="40" w:before="40"/>
      </w:pPr>
      <w:r>
        <w:rPr>
          <w:rFonts w:ascii="Arial" w:cs="Arial" w:eastAsia="Arial" w:hAnsi="Arial"/>
          <w:sz w:val="22"/>
          <w:szCs w:val="22"/>
        </w:rPr>
        <w:t xml:space="preserve">Two community workshops: present findings, collect feedback, confirm priorities.</w:t>
      </w:r>
    </w:p>
    <w:p>
      <w:pPr>
        <w:pStyle w:val="ListParagraph"/>
        <w:numPr>
          <w:ilvl w:val="0"/>
          <w:numId w:val="2"/>
        </w:numPr>
        <w:spacing w:after="40" w:before="40"/>
      </w:pPr>
      <w:r>
        <w:rPr>
          <w:rFonts w:ascii="Arial" w:cs="Arial" w:eastAsia="Arial" w:hAnsi="Arial"/>
          <w:sz w:val="22"/>
          <w:szCs w:val="22"/>
        </w:rPr>
        <w:t xml:space="preserve">Equity analysis: map HVEH benefits (energy cost savings, flood risk reduction) onto EJScreen overburdened community designations.</w:t>
      </w:r>
    </w:p>
    <w:p>
      <w:pPr>
        <w:pStyle w:val="ListParagraph"/>
        <w:numPr>
          <w:ilvl w:val="0"/>
          <w:numId w:val="2"/>
        </w:numPr>
        <w:spacing w:after="40" w:before="40"/>
      </w:pPr>
      <w:r>
        <w:rPr>
          <w:rFonts w:ascii="Arial" w:cs="Arial" w:eastAsia="Arial" w:hAnsi="Arial"/>
          <w:sz w:val="22"/>
          <w:szCs w:val="22"/>
        </w:rPr>
        <w:t xml:space="preserve">Preliminary engineering design for top 1–2 priority sites.</w:t>
      </w:r>
    </w:p>
    <w:p>
      <w:pPr>
        <w:pStyle w:val="ListParagraph"/>
        <w:numPr>
          <w:ilvl w:val="0"/>
          <w:numId w:val="2"/>
        </w:numPr>
        <w:spacing w:after="40" w:before="40"/>
      </w:pPr>
      <w:r>
        <w:rPr>
          <w:rFonts w:ascii="Arial" w:cs="Arial" w:eastAsia="Arial" w:hAnsi="Arial"/>
          <w:sz w:val="22"/>
          <w:szCs w:val="22"/>
        </w:rPr>
        <w:t xml:space="preserve">Budget and financing strategy: HVEH capital costs, grant stacking (ARPA, Shore Protection, Section 319h, IRA clean energy credits).</w:t>
      </w:r>
    </w:p>
    <w:p>
      <w:pPr>
        <w:pStyle w:val="ListParagraph"/>
        <w:numPr>
          <w:ilvl w:val="0"/>
          <w:numId w:val="2"/>
        </w:numPr>
        <w:spacing w:after="40" w:before="40"/>
      </w:pPr>
      <w:r>
        <w:rPr>
          <w:rFonts w:ascii="Arial" w:cs="Arial" w:eastAsia="Arial" w:hAnsi="Arial"/>
          <w:sz w:val="22"/>
          <w:szCs w:val="22"/>
        </w:rPr>
        <w:t xml:space="preserve">Final Regional Resilience Plan document submission.</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Regional Team and Partnerships</w:t>
      </w:r>
    </w:p>
    <w:p>
      <w:pPr>
        <w:pStyle w:val="Heading2"/>
        <w:spacing w:after="80" w:before="240"/>
      </w:pPr>
      <w:r>
        <w:rPr>
          <w:rFonts w:ascii="Arial" w:cs="Arial" w:eastAsia="Arial" w:hAnsi="Arial"/>
          <w:b/>
          <w:bCs/>
          <w:color w:val="2E75B6"/>
          <w:sz w:val="26"/>
          <w:szCs w:val="26"/>
        </w:rPr>
        <w:t xml:space="preserve">Lead Applicant</w:t>
      </w:r>
    </w:p>
    <w:p>
      <w:pPr>
        <w:spacing w:after="80" w:before="80"/>
        <w:jc w:val="both"/>
      </w:pPr>
      <w:r>
        <w:rPr>
          <w:rFonts w:ascii="Arial" w:cs="Arial" w:eastAsia="Arial" w:hAnsi="Arial"/>
          <w:sz w:val="22"/>
          <w:szCs w:val="22"/>
        </w:rPr>
        <w:t xml:space="preserve">Pablo Nogueira Grossi, Founder, G6 LLC / Newark Wellness Soundworks (229 Ballantine Pkwy, Newark, NJ). ORCID: 0009-0000-6496-2186. 25+ years developing TOGT/dm³ mathematical framework across biological, hydrological, and physical systems. Five papers accepted at XIII LAW3M Conference (Natal, Brazil, August 2026). NYFA Artist Project Fiscal Sponsorship recipient. ESL instructor, community anchor, and operator of Newark Wellness Soundworks community center.</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Technical Partners (to be confirmed)</w:t>
      </w:r>
    </w:p>
    <w:p>
      <w:pPr>
        <w:pStyle w:val="ListParagraph"/>
        <w:numPr>
          <w:ilvl w:val="0"/>
          <w:numId w:val="2"/>
        </w:numPr>
        <w:spacing w:after="40" w:before="40"/>
      </w:pPr>
      <w:r>
        <w:rPr>
          <w:rFonts w:ascii="Arial" w:cs="Arial" w:eastAsia="Arial" w:hAnsi="Arial"/>
          <w:sz w:val="22"/>
          <w:szCs w:val="22"/>
        </w:rPr>
        <w:t xml:space="preserve">[Rutgers University Department of Civil and Environmental Engineering — hydrodynamic modeling]</w:t>
      </w:r>
    </w:p>
    <w:p>
      <w:pPr>
        <w:pStyle w:val="ListParagraph"/>
        <w:numPr>
          <w:ilvl w:val="0"/>
          <w:numId w:val="2"/>
        </w:numPr>
        <w:spacing w:after="40" w:before="40"/>
      </w:pPr>
      <w:r>
        <w:rPr>
          <w:rFonts w:ascii="Arial" w:cs="Arial" w:eastAsia="Arial" w:hAnsi="Arial"/>
          <w:sz w:val="22"/>
          <w:szCs w:val="22"/>
        </w:rPr>
        <w:t xml:space="preserve">[Turbulent NV or equivalent low-head vortex turbine manufacturer — system design]</w:t>
      </w:r>
    </w:p>
    <w:p>
      <w:pPr>
        <w:pStyle w:val="ListParagraph"/>
        <w:numPr>
          <w:ilvl w:val="0"/>
          <w:numId w:val="2"/>
        </w:numPr>
        <w:spacing w:after="40" w:before="40"/>
      </w:pPr>
      <w:r>
        <w:rPr>
          <w:rFonts w:ascii="Arial" w:cs="Arial" w:eastAsia="Arial" w:hAnsi="Arial"/>
          <w:sz w:val="22"/>
          <w:szCs w:val="22"/>
        </w:rPr>
        <w:t xml:space="preserve">[Community-Based Organization: e.g., Newark Environmental Justice Alliance or Ironbound Community Corporation]</w:t>
      </w:r>
    </w:p>
    <w:p>
      <w:pPr>
        <w:pStyle w:val="ListParagraph"/>
        <w:numPr>
          <w:ilvl w:val="0"/>
          <w:numId w:val="2"/>
        </w:numPr>
        <w:spacing w:after="40" w:before="40"/>
      </w:pPr>
      <w:r>
        <w:rPr>
          <w:rFonts w:ascii="Arial" w:cs="Arial" w:eastAsia="Arial" w:hAnsi="Arial"/>
          <w:sz w:val="22"/>
          <w:szCs w:val="22"/>
        </w:rPr>
        <w:t xml:space="preserve">[Municipal Partners: City of Newark Office of Sustainability + [2 additional contiguous municipalities]]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Roles and Responsibilities</w:t>
      </w:r>
    </w:p>
    <w:p>
      <w:pPr>
        <w:spacing w:after="80" w:before="80"/>
        <w:jc w:val="both"/>
      </w:pPr>
      <w:r>
        <w:rPr>
          <w:rFonts w:ascii="Arial" w:cs="Arial" w:eastAsia="Arial" w:hAnsi="Arial"/>
          <w:sz w:val="22"/>
          <w:szCs w:val="22"/>
        </w:rPr>
        <w:t xml:space="preserve">G6 LLC leads project management, scientific modeling, and community liaison. University partner leads CFD validation. Turbine manufacturer provides system specifications and cost data. Community-based organization leads stakeholder engagement and equity analysis. Municipal partners provide data access, permitting coordination, and implementation endorsement.</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Equity and Community Engagement</w:t>
      </w:r>
    </w:p>
    <w:p>
      <w:pPr>
        <w:spacing w:after="80" w:before="80"/>
        <w:jc w:val="both"/>
      </w:pPr>
      <w:r>
        <w:rPr>
          <w:rFonts w:ascii="Arial" w:cs="Arial" w:eastAsia="Arial" w:hAnsi="Arial"/>
          <w:sz w:val="22"/>
          <w:szCs w:val="22"/>
        </w:rPr>
        <w:t xml:space="preserve">This project centers overburdened communities not as recipients of a plan but as co-designers. Newark's South and East Wards — home to large low-income and minority populations with disproportionate flood exposure and energy burden — will participate in site selection, benefit prioritization, and outcome definition.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Community benefits: Reduced property flood damage, lower post-event recovery costs, local clean energy generation offsetting utility bills, green construction and O&amp;M jobs.</w:t>
      </w:r>
    </w:p>
    <w:p>
      <w:pPr>
        <w:pStyle w:val="ListParagraph"/>
        <w:numPr>
          <w:ilvl w:val="0"/>
          <w:numId w:val="2"/>
        </w:numPr>
        <w:spacing w:after="40" w:before="40"/>
      </w:pPr>
      <w:r>
        <w:rPr>
          <w:rFonts w:ascii="Arial" w:cs="Arial" w:eastAsia="Arial" w:hAnsi="Arial"/>
          <w:sz w:val="22"/>
          <w:szCs w:val="22"/>
        </w:rPr>
        <w:t xml:space="preserve">Engagement strategy: Bilingual (English/Spanish/Portuguese) workshops, door-to-door outreach in partnership with CBO, integration with existing Newark community resilience networks.</w:t>
      </w:r>
    </w:p>
    <w:p>
      <w:pPr>
        <w:pStyle w:val="ListParagraph"/>
        <w:numPr>
          <w:ilvl w:val="0"/>
          <w:numId w:val="2"/>
        </w:numPr>
        <w:spacing w:after="40" w:before="40"/>
      </w:pPr>
      <w:r>
        <w:rPr>
          <w:rFonts w:ascii="Arial" w:cs="Arial" w:eastAsia="Arial" w:hAnsi="Arial"/>
          <w:sz w:val="22"/>
          <w:szCs w:val="22"/>
        </w:rPr>
        <w:t xml:space="preserve">Equity metrics tracked: % of energy benefit reaching EJScreen-designated communities, reduction in flood events per year in targeted blocks, number of community members employed in implementation.</w:t>
      </w:r>
    </w:p>
    <w:p>
      <w:pPr>
        <w:pStyle w:val="ListParagraph"/>
        <w:numPr>
          <w:ilvl w:val="0"/>
          <w:numId w:val="2"/>
        </w:numPr>
        <w:spacing w:after="40" w:before="40"/>
      </w:pPr>
      <w:r>
        <w:rPr>
          <w:rFonts w:ascii="Arial" w:cs="Arial" w:eastAsia="Arial" w:hAnsi="Arial"/>
          <w:sz w:val="22"/>
          <w:szCs w:val="22"/>
        </w:rPr>
        <w:t xml:space="preserve">Governance: Community advisory panel with voting role in site prioritization.</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Budget Narrative (Planning Phase)</w:t>
      </w:r>
    </w:p>
    <w:p>
      <w:pPr>
        <w:spacing w:after="80" w:before="80"/>
        <w:jc w:val="both"/>
      </w:pPr>
      <w:r>
        <w:rPr>
          <w:rFonts w:ascii="Arial" w:cs="Arial" w:eastAsia="Arial" w:hAnsi="Arial"/>
          <w:sz w:val="22"/>
          <w:szCs w:val="22"/>
        </w:rPr>
        <w:t xml:space="preserve">The following is a representative budget for the 12-month planning phase. Exact figures to be finalized per NOFA requirements and applicant's financial disclosures.</w:t>
      </w:r>
    </w:p>
    <w:p>
      <w:pPr>
        <w:spacing w:after="80" w:before="80"/>
      </w:pPr>
      <w:r>
        <w:t xml:space="preserve"/>
      </w:r>
    </w:p>
    <w:p>
      <w:pPr>
        <w:spacing w:after="60" w:before="60"/>
        <w:jc w:val="both"/>
      </w:pPr>
      <w:r>
        <w:rPr>
          <w:rFonts w:ascii="Arial" w:cs="Arial" w:eastAsia="Arial" w:hAnsi="Arial"/>
          <w:b/>
          <w:bCs/>
          <w:color w:val="2E75B6"/>
          <w:sz w:val="22"/>
          <w:szCs w:val="22"/>
        </w:rPr>
        <w:t xml:space="preserve">Personnel (60%): </w:t>
      </w:r>
      <w:r>
        <w:rPr>
          <w:rFonts w:ascii="Arial" w:cs="Arial" w:eastAsia="Arial" w:hAnsi="Arial"/>
          <w:sz w:val="22"/>
          <w:szCs w:val="22"/>
        </w:rPr>
        <w:t xml:space="preserve">Project director (0.5 FTE), hydrodynamic modeler (0.5 FTE), community engagement coordinator (0.5 FTE), administrative support (0.25 FTE).</w:t>
      </w:r>
    </w:p>
    <w:p>
      <w:pPr>
        <w:spacing w:after="60" w:before="60"/>
        <w:jc w:val="both"/>
      </w:pPr>
      <w:r>
        <w:rPr>
          <w:rFonts w:ascii="Arial" w:cs="Arial" w:eastAsia="Arial" w:hAnsi="Arial"/>
          <w:b/>
          <w:bCs/>
          <w:color w:val="2E75B6"/>
          <w:sz w:val="22"/>
          <w:szCs w:val="22"/>
        </w:rPr>
        <w:t xml:space="preserve">Modeling and Simulation (15%): </w:t>
      </w:r>
      <w:r>
        <w:rPr>
          <w:rFonts w:ascii="Arial" w:cs="Arial" w:eastAsia="Arial" w:hAnsi="Arial"/>
          <w:sz w:val="22"/>
          <w:szCs w:val="22"/>
        </w:rPr>
        <w:t xml:space="preserve">CFD software licenses, cloud computing for contact-geometry simulations, GIS data acquisition.</w:t>
      </w:r>
    </w:p>
    <w:p>
      <w:pPr>
        <w:spacing w:after="60" w:before="60"/>
        <w:jc w:val="both"/>
      </w:pPr>
      <w:r>
        <w:rPr>
          <w:rFonts w:ascii="Arial" w:cs="Arial" w:eastAsia="Arial" w:hAnsi="Arial"/>
          <w:b/>
          <w:bCs/>
          <w:color w:val="2E75B6"/>
          <w:sz w:val="22"/>
          <w:szCs w:val="22"/>
        </w:rPr>
        <w:t xml:space="preserve">Stakeholder Engagement (10%): </w:t>
      </w:r>
      <w:r>
        <w:rPr>
          <w:rFonts w:ascii="Arial" w:cs="Arial" w:eastAsia="Arial" w:hAnsi="Arial"/>
          <w:sz w:val="22"/>
          <w:szCs w:val="22"/>
        </w:rPr>
        <w:t xml:space="preserve">Workshop facilitation, translation services, materials, outreach staff.</w:t>
      </w:r>
    </w:p>
    <w:p>
      <w:pPr>
        <w:spacing w:after="60" w:before="60"/>
        <w:jc w:val="both"/>
      </w:pPr>
      <w:r>
        <w:rPr>
          <w:rFonts w:ascii="Arial" w:cs="Arial" w:eastAsia="Arial" w:hAnsi="Arial"/>
          <w:b/>
          <w:bCs/>
          <w:color w:val="2E75B6"/>
          <w:sz w:val="22"/>
          <w:szCs w:val="22"/>
        </w:rPr>
        <w:t xml:space="preserve">Professional Services (8%): </w:t>
      </w:r>
      <w:r>
        <w:rPr>
          <w:rFonts w:ascii="Arial" w:cs="Arial" w:eastAsia="Arial" w:hAnsi="Arial"/>
          <w:sz w:val="22"/>
          <w:szCs w:val="22"/>
        </w:rPr>
        <w:t xml:space="preserve">Legal/regulatory feasibility review; preliminary engineering for priority sites.</w:t>
      </w:r>
    </w:p>
    <w:p>
      <w:pPr>
        <w:spacing w:after="60" w:before="60"/>
        <w:jc w:val="both"/>
      </w:pPr>
      <w:r>
        <w:rPr>
          <w:rFonts w:ascii="Arial" w:cs="Arial" w:eastAsia="Arial" w:hAnsi="Arial"/>
          <w:b/>
          <w:bCs/>
          <w:color w:val="2E75B6"/>
          <w:sz w:val="22"/>
          <w:szCs w:val="22"/>
        </w:rPr>
        <w:t xml:space="preserve">Travel and Dissemination (4%): </w:t>
      </w:r>
      <w:r>
        <w:rPr>
          <w:rFonts w:ascii="Arial" w:cs="Arial" w:eastAsia="Arial" w:hAnsi="Arial"/>
          <w:sz w:val="22"/>
          <w:szCs w:val="22"/>
        </w:rPr>
        <w:t xml:space="preserve">Site visits, community meetings, conference presentation.</w:t>
      </w:r>
    </w:p>
    <w:p>
      <w:pPr>
        <w:spacing w:after="60" w:before="60"/>
        <w:jc w:val="both"/>
      </w:pPr>
      <w:r>
        <w:rPr>
          <w:rFonts w:ascii="Arial" w:cs="Arial" w:eastAsia="Arial" w:hAnsi="Arial"/>
          <w:b/>
          <w:bCs/>
          <w:color w:val="2E75B6"/>
          <w:sz w:val="22"/>
          <w:szCs w:val="22"/>
        </w:rPr>
        <w:t xml:space="preserve">Indirect Costs (3%): </w:t>
      </w:r>
      <w:r>
        <w:rPr>
          <w:rFonts w:ascii="Arial" w:cs="Arial" w:eastAsia="Arial" w:hAnsi="Arial"/>
          <w:sz w:val="22"/>
          <w:szCs w:val="22"/>
        </w:rPr>
        <w:t xml:space="preserve">Per institutional rate.</w:t>
      </w:r>
    </w:p>
    <w:p>
      <w:pPr>
        <w:spacing w:after="80" w:before="80"/>
      </w:pPr>
      <w:r>
        <w:t xml:space="preserve"/>
      </w:r>
    </w:p>
    <w:p>
      <w:pPr>
        <w:spacing w:after="80" w:before="80"/>
        <w:jc w:val="both"/>
      </w:pPr>
      <w:r>
        <w:rPr>
          <w:rFonts w:ascii="Arial" w:cs="Arial" w:eastAsia="Arial" w:hAnsi="Arial"/>
          <w:sz w:val="22"/>
          <w:szCs w:val="22"/>
        </w:rPr>
        <w:t xml:space="preserve">Matching funds and leveraged resources: [Specify any confirmed match — NYFA fiscal sponsorship, G6 LLC in-kind, municipal in-kind staff time].</w:t>
      </w:r>
    </w:p>
    <w:p>
      <w:pPr>
        <w:spacing w:after="80" w:before="80"/>
      </w:pPr>
      <w:r>
        <w:t xml:space="preserve"/>
      </w:r>
    </w:p>
    <w:p>
      <w:pPr>
        <w:spacing w:after="80" w:before="80"/>
        <w:jc w:val="both"/>
      </w:pPr>
      <w:r>
        <w:rPr>
          <w:rFonts w:ascii="Arial" w:cs="Arial" w:eastAsia="Arial" w:hAnsi="Arial"/>
          <w:sz w:val="22"/>
          <w:szCs w:val="22"/>
        </w:rPr>
        <w:t xml:space="preserve">Cost-effectiveness: Every dollar of planning investment is projected to unlock $8–15 in implementation funding through Shore Protection Program, USACE, and IRA clean energy mechanisms. The dual energy + flood benefit stream yields positive ROI within 4–8 years of implementation.</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Sustainability and Scalability</w:t>
      </w:r>
    </w:p>
    <w:p>
      <w:pPr>
        <w:spacing w:after="80" w:before="80"/>
        <w:jc w:val="both"/>
      </w:pPr>
      <w:r>
        <w:rPr>
          <w:rFonts w:ascii="Arial" w:cs="Arial" w:eastAsia="Arial" w:hAnsi="Arial"/>
          <w:sz w:val="22"/>
          <w:szCs w:val="22"/>
        </w:rPr>
        <w:t xml:space="preserve">This planning grant is Phase 1 of a three-phase strategy:</w:t>
      </w:r>
    </w:p>
    <w:p>
      <w:pPr>
        <w:spacing w:after="80" w:before="80"/>
      </w:pPr>
      <w:r>
        <w:t xml:space="preserve"/>
      </w:r>
    </w:p>
    <w:p>
      <w:pPr>
        <w:spacing w:after="60" w:before="60"/>
        <w:jc w:val="both"/>
      </w:pPr>
      <w:r>
        <w:rPr>
          <w:rFonts w:ascii="Arial" w:cs="Arial" w:eastAsia="Arial" w:hAnsi="Arial"/>
          <w:b/>
          <w:bCs/>
          <w:color w:val="2E75B6"/>
          <w:sz w:val="22"/>
          <w:szCs w:val="22"/>
        </w:rPr>
        <w:t xml:space="preserve">Phase 2 (Year 2–3): </w:t>
      </w:r>
      <w:r>
        <w:rPr>
          <w:rFonts w:ascii="Arial" w:cs="Arial" w:eastAsia="Arial" w:hAnsi="Arial"/>
          <w:sz w:val="22"/>
          <w:szCs w:val="22"/>
        </w:rPr>
        <w:t xml:space="preserve">NJDEP Shore Protection Program + USACE Engineering With Nature funding for pilot HVEH deployment at 1–2 priority sites.</w:t>
      </w:r>
    </w:p>
    <w:p>
      <w:pPr>
        <w:spacing w:after="60" w:before="60"/>
        <w:jc w:val="both"/>
      </w:pPr>
      <w:r>
        <w:rPr>
          <w:rFonts w:ascii="Arial" w:cs="Arial" w:eastAsia="Arial" w:hAnsi="Arial"/>
          <w:b/>
          <w:bCs/>
          <w:color w:val="2E75B6"/>
          <w:sz w:val="22"/>
          <w:szCs w:val="22"/>
        </w:rPr>
        <w:t xml:space="preserve">Phase 3 (Year 4–6): </w:t>
      </w:r>
      <w:r>
        <w:rPr>
          <w:rFonts w:ascii="Arial" w:cs="Arial" w:eastAsia="Arial" w:hAnsi="Arial"/>
          <w:sz w:val="22"/>
          <w:szCs w:val="22"/>
        </w:rPr>
        <w:t xml:space="preserve">Statewide scale-up via Rebuild by Design-style competition and federal IRA clean energy infrastructure funds. Target: network of HVEH modules across NJ coastal and urban waterways generating MW-scale power while protecting dozens of communities.</w:t>
      </w:r>
    </w:p>
    <w:p>
      <w:pPr>
        <w:spacing w:after="80" w:before="80"/>
      </w:pPr>
      <w:r>
        <w:t xml:space="preserve"/>
      </w:r>
    </w:p>
    <w:p>
      <w:pPr>
        <w:spacing w:after="80" w:before="80"/>
        <w:jc w:val="both"/>
      </w:pPr>
      <w:r>
        <w:rPr>
          <w:rFonts w:ascii="Arial" w:cs="Arial" w:eastAsia="Arial" w:hAnsi="Arial"/>
          <w:sz w:val="22"/>
          <w:szCs w:val="22"/>
        </w:rPr>
        <w:t xml:space="preserve">Long-term O&amp;M is low-cost (1–2% of CAPEX annually) and community-operable. The Seven-Proofs mathematical framework is open-source and documented in Principia Orthogona, ensuring independent replication and adaptation by any NJ municipality.</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10. Evaluation and Performance Metrics</w:t>
      </w:r>
    </w:p>
    <w:p>
      <w:pPr>
        <w:pStyle w:val="Heading2"/>
        <w:spacing w:after="80" w:before="240"/>
      </w:pPr>
      <w:r>
        <w:rPr>
          <w:rFonts w:ascii="Arial" w:cs="Arial" w:eastAsia="Arial" w:hAnsi="Arial"/>
          <w:b/>
          <w:bCs/>
          <w:color w:val="2E75B6"/>
          <w:sz w:val="26"/>
          <w:szCs w:val="26"/>
        </w:rPr>
        <w:t xml:space="preserve">Planning Phase Success Metrics</w:t>
      </w:r>
    </w:p>
    <w:p>
      <w:pPr>
        <w:pStyle w:val="ListParagraph"/>
        <w:numPr>
          <w:ilvl w:val="0"/>
          <w:numId w:val="2"/>
        </w:numPr>
        <w:spacing w:after="40" w:before="40"/>
      </w:pPr>
      <w:r>
        <w:rPr>
          <w:rFonts w:ascii="Arial" w:cs="Arial" w:eastAsia="Arial" w:hAnsi="Arial"/>
          <w:sz w:val="22"/>
          <w:szCs w:val="22"/>
        </w:rPr>
        <w:t xml:space="preserve">Completion of contact-geometry and CFD simulations for ≥2 candidate sites.</w:t>
      </w:r>
    </w:p>
    <w:p>
      <w:pPr>
        <w:pStyle w:val="ListParagraph"/>
        <w:numPr>
          <w:ilvl w:val="0"/>
          <w:numId w:val="2"/>
        </w:numPr>
        <w:spacing w:after="40" w:before="40"/>
      </w:pPr>
      <w:r>
        <w:rPr>
          <w:rFonts w:ascii="Arial" w:cs="Arial" w:eastAsia="Arial" w:hAnsi="Arial"/>
          <w:sz w:val="22"/>
          <w:szCs w:val="22"/>
        </w:rPr>
        <w:t xml:space="preserve">At least 2 community workshops with ≥30 participants each.</w:t>
      </w:r>
    </w:p>
    <w:p>
      <w:pPr>
        <w:pStyle w:val="ListParagraph"/>
        <w:numPr>
          <w:ilvl w:val="0"/>
          <w:numId w:val="2"/>
        </w:numPr>
        <w:spacing w:after="40" w:before="40"/>
      </w:pPr>
      <w:r>
        <w:rPr>
          <w:rFonts w:ascii="Arial" w:cs="Arial" w:eastAsia="Arial" w:hAnsi="Arial"/>
          <w:sz w:val="22"/>
          <w:szCs w:val="22"/>
        </w:rPr>
        <w:t xml:space="preserve">Regulatory feasibility confirmed or identified barriers documented.</w:t>
      </w:r>
    </w:p>
    <w:p>
      <w:pPr>
        <w:pStyle w:val="ListParagraph"/>
        <w:numPr>
          <w:ilvl w:val="0"/>
          <w:numId w:val="2"/>
        </w:numPr>
        <w:spacing w:after="40" w:before="40"/>
      </w:pPr>
      <w:r>
        <w:rPr>
          <w:rFonts w:ascii="Arial" w:cs="Arial" w:eastAsia="Arial" w:hAnsi="Arial"/>
          <w:sz w:val="22"/>
          <w:szCs w:val="22"/>
        </w:rPr>
        <w:t xml:space="preserve">Final plan document delivered on schedule.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Long-Term Implementation Metrics (Post-Grant)</w:t>
      </w:r>
    </w:p>
    <w:p>
      <w:pPr>
        <w:pStyle w:val="ListParagraph"/>
        <w:numPr>
          <w:ilvl w:val="0"/>
          <w:numId w:val="2"/>
        </w:numPr>
        <w:spacing w:after="40" w:before="40"/>
      </w:pPr>
      <w:r>
        <w:rPr>
          <w:rFonts w:ascii="Arial" w:cs="Arial" w:eastAsia="Arial" w:hAnsi="Arial"/>
          <w:sz w:val="22"/>
          <w:szCs w:val="22"/>
        </w:rPr>
        <w:t xml:space="preserve">Flood peak reduction (≥20%) at implemented sites during 10-year storm events.</w:t>
      </w:r>
    </w:p>
    <w:p>
      <w:pPr>
        <w:pStyle w:val="ListParagraph"/>
        <w:numPr>
          <w:ilvl w:val="0"/>
          <w:numId w:val="2"/>
        </w:numPr>
        <w:spacing w:after="40" w:before="40"/>
      </w:pPr>
      <w:r>
        <w:rPr>
          <w:rFonts w:ascii="Arial" w:cs="Arial" w:eastAsia="Arial" w:hAnsi="Arial"/>
          <w:sz w:val="22"/>
          <w:szCs w:val="22"/>
        </w:rPr>
        <w:t xml:space="preserve">Energy generation yield vs. projections (±15%).</w:t>
      </w:r>
    </w:p>
    <w:p>
      <w:pPr>
        <w:pStyle w:val="ListParagraph"/>
        <w:numPr>
          <w:ilvl w:val="0"/>
          <w:numId w:val="2"/>
        </w:numPr>
        <w:spacing w:after="40" w:before="40"/>
      </w:pPr>
      <w:r>
        <w:rPr>
          <w:rFonts w:ascii="Arial" w:cs="Arial" w:eastAsia="Arial" w:hAnsi="Arial"/>
          <w:sz w:val="22"/>
          <w:szCs w:val="22"/>
        </w:rPr>
        <w:t xml:space="preserve">Community benefit delivery: jobs created, energy cost savings per household.</w:t>
      </w:r>
    </w:p>
    <w:p>
      <w:pPr>
        <w:pStyle w:val="ListParagraph"/>
        <w:numPr>
          <w:ilvl w:val="0"/>
          <w:numId w:val="2"/>
        </w:numPr>
        <w:spacing w:after="40" w:before="40"/>
      </w:pPr>
      <w:r>
        <w:rPr>
          <w:rFonts w:ascii="Arial" w:cs="Arial" w:eastAsia="Arial" w:hAnsi="Arial"/>
          <w:sz w:val="22"/>
          <w:szCs w:val="22"/>
        </w:rPr>
        <w:t xml:space="preserve">Attractor stability: vortex coherence maintained across 3+ storm seasons without structural intervention.</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11. Conclusion</w:t>
      </w:r>
    </w:p>
    <w:p>
      <w:pPr>
        <w:spacing w:after="80" w:before="80"/>
        <w:jc w:val="both"/>
      </w:pPr>
      <w:r>
        <w:rPr>
          <w:rFonts w:ascii="Arial" w:cs="Arial" w:eastAsia="Arial" w:hAnsi="Arial"/>
          <w:sz w:val="22"/>
          <w:szCs w:val="22"/>
        </w:rPr>
        <w:t xml:space="preserve">New Jersey's flood crisis demands solutions that match the complexity of the problem. The Helical Vortex Energy Harvester — grounded in contact geometry, proven by seven independent mathematical frameworks, and demonstrated in nature by El Ojo — offers exactly that: a system that does not merely resist water but learns from its own geometry to harness it.</w:t>
      </w:r>
    </w:p>
    <w:p>
      <w:pPr>
        <w:spacing w:after="80" w:before="80"/>
      </w:pPr>
      <w:r>
        <w:t xml:space="preserve"/>
      </w:r>
    </w:p>
    <w:p>
      <w:pPr>
        <w:spacing w:after="80" w:before="80"/>
        <w:jc w:val="both"/>
      </w:pPr>
      <w:r>
        <w:rPr>
          <w:rFonts w:ascii="Arial" w:cs="Arial" w:eastAsia="Arial" w:hAnsi="Arial"/>
          <w:sz w:val="22"/>
          <w:szCs w:val="22"/>
        </w:rPr>
        <w:t xml:space="preserve">The TOGT framework embodies a principle that guides this entire project: where the mathematics works, we deliver solutions. Where it challenges our assumptions, we discover new science. Both outcomes serve New Jersey.</w:t>
      </w:r>
    </w:p>
    <w:p>
      <w:pPr>
        <w:spacing w:after="80" w:before="80"/>
      </w:pPr>
      <w:r>
        <w:t xml:space="preserve"/>
      </w:r>
    </w:p>
    <w:p>
      <w:pPr>
        <w:spacing w:after="80" w:before="80"/>
        <w:jc w:val="both"/>
      </w:pPr>
      <w:r>
        <w:rPr>
          <w:rFonts w:ascii="Arial" w:cs="Arial" w:eastAsia="Arial" w:hAnsi="Arial"/>
          <w:sz w:val="22"/>
          <w:szCs w:val="22"/>
        </w:rPr>
        <w:t xml:space="preserve">This planning grant will establish the scientific foundation, community partnerships, and implementation pathway needed to turn mathematical insight into flood-resilient, energy-generating infrastructure for Newark and its neighbors — and a replicable model for the state.</w:t>
      </w:r>
    </w:p>
    <w:p>
      <w:pPr>
        <w:spacing w:after="80" w:before="80"/>
      </w:pPr>
      <w:r>
        <w:t xml:space="preserve"/>
      </w:r>
    </w:p>
    <w:p>
      <w:pPr>
        <w:spacing w:after="240" w:before="240"/>
        <w:jc w:val="center"/>
      </w:pPr>
      <w:r>
        <w:rPr>
          <w:rFonts w:ascii="Arial" w:cs="Arial" w:eastAsia="Arial" w:hAnsi="Arial"/>
          <w:i/>
          <w:iCs/>
          <w:color w:val="444444"/>
          <w:sz w:val="22"/>
          <w:szCs w:val="22"/>
        </w:rPr>
        <w:t xml:space="preserve">"The beauty of mathematics is the beauty of the world: waves in music, branching in sparks, development in life, and sustainability in planetary systems. Where the theory works, we gift solutions to the world."</w:t>
      </w:r>
    </w:p>
    <w:p>
      <w:pPr>
        <w:spacing w:after="480" w:before="0"/>
        <w:jc w:val="center"/>
      </w:pPr>
      <w:r>
        <w:rPr>
          <w:rFonts w:ascii="Arial" w:cs="Arial" w:eastAsia="Arial" w:hAnsi="Arial"/>
          <w:color w:val="888888"/>
          <w:sz w:val="20"/>
          <w:szCs w:val="20"/>
        </w:rPr>
        <w:t xml:space="preserve">— Pablo Nogueira Grossi, Principia Orthogona Mission Statement</w:t>
      </w:r>
    </w:p>
    <w:p>
      <w:pPr>
        <w:pBdr>
          <w:bottom w:val="single" w:color="CCCCCC" w:sz="4" w:space="2"/>
        </w:pBdr>
        <w:spacing w:after="120" w:before="12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Appendices</w:t>
      </w:r>
    </w:p>
    <w:p>
      <w:pPr>
        <w:spacing w:after="80" w:before="80"/>
        <w:jc w:val="both"/>
      </w:pPr>
      <w:r>
        <w:rPr>
          <w:rFonts w:ascii="Arial" w:cs="Arial" w:eastAsia="Arial" w:hAnsi="Arial"/>
          <w:sz w:val="22"/>
          <w:szCs w:val="22"/>
        </w:rPr>
        <w:t xml:space="preserve">The following appendices are to be attached as permitted by the NOFA:</w:t>
      </w:r>
    </w:p>
    <w:p>
      <w:pPr>
        <w:pStyle w:val="ListParagraph"/>
        <w:numPr>
          <w:ilvl w:val="0"/>
          <w:numId w:val="2"/>
        </w:numPr>
        <w:spacing w:after="40" w:before="40"/>
      </w:pPr>
      <w:r>
        <w:rPr>
          <w:rFonts w:ascii="Arial" w:cs="Arial" w:eastAsia="Arial" w:hAnsi="Arial"/>
          <w:sz w:val="22"/>
          <w:szCs w:val="22"/>
        </w:rPr>
        <w:t xml:space="preserve">Appendix A: Letters of Support (Municipal Partners, Community-Based Organization, Technical Partners)</w:t>
      </w:r>
    </w:p>
    <w:p>
      <w:pPr>
        <w:pStyle w:val="ListParagraph"/>
        <w:numPr>
          <w:ilvl w:val="0"/>
          <w:numId w:val="2"/>
        </w:numPr>
        <w:spacing w:after="40" w:before="40"/>
      </w:pPr>
      <w:r>
        <w:rPr>
          <w:rFonts w:ascii="Arial" w:cs="Arial" w:eastAsia="Arial" w:hAnsi="Arial"/>
          <w:sz w:val="22"/>
          <w:szCs w:val="22"/>
        </w:rPr>
        <w:t xml:space="preserve">Appendix B: Preliminary Contact-Geometry Simulation Results (El Ojo Analogue Case)</w:t>
      </w:r>
    </w:p>
    <w:p>
      <w:pPr>
        <w:pStyle w:val="ListParagraph"/>
        <w:numPr>
          <w:ilvl w:val="0"/>
          <w:numId w:val="2"/>
        </w:numPr>
        <w:spacing w:after="40" w:before="40"/>
      </w:pPr>
      <w:r>
        <w:rPr>
          <w:rFonts w:ascii="Arial" w:cs="Arial" w:eastAsia="Arial" w:hAnsi="Arial"/>
          <w:sz w:val="22"/>
          <w:szCs w:val="22"/>
        </w:rPr>
        <w:t xml:space="preserve">Appendix C: Team Resumes and Qualifications</w:t>
      </w:r>
    </w:p>
    <w:p>
      <w:pPr>
        <w:pStyle w:val="ListParagraph"/>
        <w:numPr>
          <w:ilvl w:val="0"/>
          <w:numId w:val="2"/>
        </w:numPr>
        <w:spacing w:after="40" w:before="40"/>
      </w:pPr>
      <w:r>
        <w:rPr>
          <w:rFonts w:ascii="Arial" w:cs="Arial" w:eastAsia="Arial" w:hAnsi="Arial"/>
          <w:sz w:val="22"/>
          <w:szCs w:val="22"/>
        </w:rPr>
        <w:t xml:space="preserve">Appendix D: Detailed Budget Spreadsheet</w:t>
      </w:r>
    </w:p>
    <w:p>
      <w:pPr>
        <w:pStyle w:val="ListParagraph"/>
        <w:numPr>
          <w:ilvl w:val="0"/>
          <w:numId w:val="2"/>
        </w:numPr>
        <w:spacing w:after="40" w:before="40"/>
      </w:pPr>
      <w:r>
        <w:rPr>
          <w:rFonts w:ascii="Arial" w:cs="Arial" w:eastAsia="Arial" w:hAnsi="Arial"/>
          <w:sz w:val="22"/>
          <w:szCs w:val="22"/>
        </w:rPr>
        <w:t xml:space="preserve">Appendix E: TOGT Seven-Proofs Framework Summary (Principia Orthogona excerpt)</w:t>
      </w:r>
    </w:p>
    <w:p>
      <w:pPr>
        <w:pStyle w:val="ListParagraph"/>
        <w:numPr>
          <w:ilvl w:val="0"/>
          <w:numId w:val="2"/>
        </w:numPr>
        <w:spacing w:after="40" w:before="40"/>
      </w:pPr>
      <w:r>
        <w:rPr>
          <w:rFonts w:ascii="Arial" w:cs="Arial" w:eastAsia="Arial" w:hAnsi="Arial"/>
          <w:sz w:val="22"/>
          <w:szCs w:val="22"/>
        </w:rPr>
        <w:t xml:space="preserve">Appendix F: Site Maps and Preliminary GIS Flood Risk Analysis</w:t>
      </w:r>
    </w:p>
    <w:p>
      <w:pPr>
        <w:spacing w:after="80" w:before="80"/>
      </w:pPr>
      <w:r>
        <w:t xml:space="preserve"/>
      </w:r>
    </w:p>
    <w:p>
      <w:pPr>
        <w:spacing w:after="80" w:before="80"/>
        <w:jc w:val="both"/>
      </w:pPr>
      <w:r>
        <w:rPr>
          <w:rFonts w:ascii="Arial" w:cs="Arial" w:eastAsia="Arial" w:hAnsi="Arial"/>
          <w:sz w:val="22"/>
          <w:szCs w:val="22"/>
        </w:rPr>
        <w:t xml:space="preserve">Submission note: All materials to be compiled into a single PDF and submitted to resilientnj@dep.nj.gov by July 7, 2026, 12:00 PM EST. Subject line: [Region Name] — Helical Vortex Energy Harvesters Resilience Plan.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120"/>
    </w:pPr>
    <w:r>
      <w:rPr>
        <w:rFonts w:ascii="Arial" w:cs="Arial" w:eastAsia="Arial" w:hAnsi="Arial"/>
        <w:color w:val="666666"/>
        <w:sz w:val="18"/>
        <w:szCs w:val="18"/>
      </w:rPr>
      <w:t xml:space="preserve">Submitted to NJDEP Office of Climate Resilience  |  Deadline: July 7, 2026  |  resilientnj@dep.nj.gov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pPr>
    <w:r>
      <w:rPr>
        <w:rFonts w:ascii="Arial" w:cs="Arial" w:eastAsia="Arial" w:hAnsi="Arial"/>
        <w:color w:val="666666"/>
        <w:sz w:val="18"/>
        <w:szCs w:val="18"/>
      </w:rPr>
      <w:t xml:space="preserve">Resilient NJ Regional Resilience Planning Grant  |  Pablo Nogueira Grossi / G6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2026-06-10T20:15:10.267Z</dcterms:created>
  <dcterms:modified xsi:type="dcterms:W3CDTF">2026-06-10T20:15:10.268Z</dcterms:modified>
</cp:coreProperties>
</file>

<file path=docProps/custom.xml><?xml version="1.0" encoding="utf-8"?>
<Properties xmlns="http://schemas.openxmlformats.org/officeDocument/2006/custom-properties" xmlns:vt="http://schemas.openxmlformats.org/officeDocument/2006/docPropsVTypes"/>
</file>