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20" w:before="0"/>
        <w:jc w:val="center"/>
      </w:pPr>
      <w:r>
        <w:rPr>
          <w:rFonts w:ascii="Arial" w:cs="Arial" w:eastAsia="Arial" w:hAnsi="Arial"/>
          <w:b/>
          <w:bCs/>
          <w:caps/>
          <w:color w:val="888888"/>
          <w:sz w:val="20"/>
          <w:szCs w:val="20"/>
        </w:rPr>
        <w:t xml:space="preserve">PUBLISHING PROSPECTUS</w:t>
      </w:r>
    </w:p>
    <w:p>
      <w:pPr>
        <w:spacing w:after="80" w:before="0"/>
        <w:jc w:val="center"/>
      </w:pPr>
      <w:r>
        <w:rPr>
          <w:rFonts w:ascii="Arial" w:cs="Arial" w:eastAsia="Arial" w:hAnsi="Arial"/>
          <w:color w:val="888888"/>
          <w:sz w:val="20"/>
          <w:szCs w:val="20"/>
        </w:rPr>
        <w:t xml:space="preserve">Submitted to Cambridge University Press</w:t>
      </w:r>
    </w:p>
    <w:p>
      <w:pPr>
        <w:spacing w:before="200"/>
      </w:pPr>
      <w:r>
        <w:t xml:space="preserve"/>
      </w:r>
    </w:p>
    <w:p>
      <w:pPr>
        <w:spacing w:after="160" w:before="0"/>
        <w:jc w:val="center"/>
      </w:pPr>
      <w:r>
        <w:rPr>
          <w:rFonts w:ascii="Arial" w:cs="Arial" w:eastAsia="Arial" w:hAnsi="Arial"/>
          <w:b/>
          <w:bCs/>
          <w:color w:val="1A3A5C"/>
          <w:sz w:val="52"/>
          <w:szCs w:val="52"/>
        </w:rPr>
        <w:t xml:space="preserve">Principia Orthogona</w:t>
      </w:r>
    </w:p>
    <w:p>
      <w:pPr>
        <w:spacing w:after="80" w:before="0"/>
        <w:jc w:val="center"/>
      </w:pPr>
      <w:r>
        <w:rPr>
          <w:rFonts w:ascii="Arial" w:cs="Arial" w:eastAsia="Arial" w:hAnsi="Arial"/>
          <w:i/>
          <w:iCs/>
          <w:color w:val="2E6688"/>
          <w:sz w:val="30"/>
          <w:szCs w:val="30"/>
        </w:rPr>
        <w:t xml:space="preserve">A Multi-Volume Series on Topographical Orthogenetics</w:t>
      </w:r>
    </w:p>
    <w:p>
      <w:pPr>
        <w:spacing w:after="400" w:before="0"/>
        <w:jc w:val="center"/>
      </w:pPr>
      <w:r>
        <w:rPr>
          <w:rFonts w:ascii="Arial" w:cs="Arial" w:eastAsia="Arial" w:hAnsi="Arial"/>
          <w:i/>
          <w:iCs/>
          <w:color w:val="2E6688"/>
          <w:sz w:val="28"/>
          <w:szCs w:val="28"/>
        </w:rPr>
        <w:t xml:space="preserve">from Pure Mathematics to Planetary Science</w:t>
      </w:r>
    </w:p>
    <w:p>
      <w:pPr>
        <w:pBdr>
          <w:bottom w:val="single" w:color="1A3A5C" w:sz="4" w:space="1"/>
        </w:pBdr>
        <w:spacing w:after="200" w:before="200"/>
      </w:pPr>
      <w:r>
        <w:t xml:space="preserve"/>
      </w:r>
    </w:p>
    <w:p>
      <w:pPr>
        <w:spacing w:after="80" w:before="160"/>
        <w:jc w:val="center"/>
      </w:pPr>
      <w:r>
        <w:rPr>
          <w:rFonts w:ascii="Arial" w:cs="Arial" w:eastAsia="Arial" w:hAnsi="Arial"/>
          <w:b/>
          <w:bCs/>
          <w:sz w:val="24"/>
          <w:szCs w:val="24"/>
        </w:rPr>
        <w:t xml:space="preserve">Pablo Nogueira Grossi</w:t>
      </w:r>
    </w:p>
    <w:p>
      <w:pPr>
        <w:spacing w:after="60" w:before="0"/>
        <w:jc w:val="center"/>
      </w:pPr>
      <w:r>
        <w:rPr>
          <w:rFonts w:ascii="Arial" w:cs="Arial" w:eastAsia="Arial" w:hAnsi="Arial"/>
          <w:color w:val="555555"/>
          <w:sz w:val="20"/>
          <w:szCs w:val="20"/>
        </w:rPr>
        <w:t xml:space="preserve">Independent Researcher  |  G6 LLC, Newark, NJ</w:t>
      </w:r>
    </w:p>
    <w:p>
      <w:pPr>
        <w:spacing w:after="60" w:before="0"/>
        <w:jc w:val="center"/>
      </w:pPr>
      <w:r>
        <w:rPr>
          <w:rFonts w:ascii="Arial" w:cs="Arial" w:eastAsia="Arial" w:hAnsi="Arial"/>
          <w:color w:val="555555"/>
          <w:sz w:val="20"/>
          <w:szCs w:val="20"/>
        </w:rPr>
        <w:t xml:space="preserve">ORCID: 0009-0000-6496-2186</w:t>
      </w:r>
    </w:p>
    <w:p>
      <w:pPr>
        <w:spacing w:after="60" w:before="0"/>
        <w:jc w:val="center"/>
      </w:pPr>
      <w:r>
        <w:rPr>
          <w:rFonts w:ascii="Arial" w:cs="Arial" w:eastAsia="Arial" w:hAnsi="Arial"/>
          <w:color w:val="555555"/>
          <w:sz w:val="20"/>
          <w:szCs w:val="20"/>
        </w:rPr>
        <w:t xml:space="preserve">Series root DOI: 10.5281/zenodo.19117399</w:t>
      </w:r>
    </w:p>
    <w:p>
      <w:pPr>
        <w:spacing w:after="400" w:before="0"/>
        <w:jc w:val="center"/>
      </w:pPr>
      <w:r>
        <w:rPr>
          <w:rFonts w:ascii="Arial" w:cs="Arial" w:eastAsia="Arial" w:hAnsi="Arial"/>
          <w:color w:val="555555"/>
          <w:sz w:val="20"/>
          <w:szCs w:val="20"/>
        </w:rPr>
        <w:t xml:space="preserve">pablogrossi@hotmail.com  |  g6llc@proton.me</w:t>
      </w:r>
    </w:p>
    <w:p>
      <w:r>
        <w:br w:type="page"/>
      </w:r>
    </w:p>
    <w:p>
      <w:pPr>
        <w:pStyle w:val="Heading1"/>
        <w:spacing w:after="160" w:before="400"/>
      </w:pPr>
      <w:r>
        <w:rPr>
          <w:rFonts w:ascii="Arial" w:cs="Arial" w:eastAsia="Arial" w:hAnsi="Arial"/>
          <w:b/>
          <w:bCs/>
          <w:color w:val="1A3A5C"/>
          <w:sz w:val="28"/>
          <w:szCs w:val="28"/>
        </w:rPr>
        <w:t xml:space="preserve">1. Proposed Series Title</w:t>
      </w:r>
    </w:p>
    <w:p>
      <w:pPr>
        <w:spacing w:after="80" w:before="80"/>
        <w:jc w:val="both"/>
      </w:pPr>
      <w:r>
        <w:rPr>
          <w:rFonts w:ascii="Arial" w:cs="Arial" w:eastAsia="Arial" w:hAnsi="Arial"/>
          <w:sz w:val="22"/>
          <w:szCs w:val="22"/>
        </w:rPr>
        <w:t xml:space="preserve">Principia Orthogona: A Multi-Volume Series on Topographical Orthogenetics (dm³)</w:t>
      </w:r>
    </w:p>
    <w:p>
      <w:pPr>
        <w:spacing w:after="80" w:before="80"/>
        <w:jc w:val="both"/>
      </w:pPr>
      <w:r>
        <w:rPr>
          <w:rFonts w:ascii="Arial" w:cs="Arial" w:eastAsia="Arial" w:hAnsi="Arial"/>
          <w:sz w:val="22"/>
          <w:szCs w:val="22"/>
        </w:rPr>
        <w:t xml:space="preserve">Volumes I–V plus a synthesis volume (Grand Topographical Curvature Theory, GTCT), published as a unified series under the Cambridge imprint.</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2. Rationale, Scope, and Unique Contribution</w:t>
      </w:r>
    </w:p>
    <w:p>
      <w:pPr>
        <w:pStyle w:val="Heading2"/>
        <w:spacing w:after="120" w:before="280"/>
      </w:pPr>
      <w:r>
        <w:rPr>
          <w:rFonts w:ascii="Arial" w:cs="Arial" w:eastAsia="Arial" w:hAnsi="Arial"/>
          <w:b/>
          <w:bCs/>
          <w:color w:val="2E6688"/>
          <w:sz w:val="24"/>
          <w:szCs w:val="24"/>
        </w:rPr>
        <w:t xml:space="preserve">2.1 The Core Problem</w:t>
      </w:r>
    </w:p>
    <w:p>
      <w:pPr>
        <w:spacing w:after="80" w:before="80"/>
        <w:jc w:val="both"/>
      </w:pPr>
      <w:r>
        <w:rPr>
          <w:rFonts w:ascii="Arial" w:cs="Arial" w:eastAsia="Arial" w:hAnsi="Arial"/>
          <w:sz w:val="22"/>
          <w:szCs w:val="22"/>
        </w:rPr>
        <w:t xml:space="preserve">Contemporary mathematics and theoretical physics confront a fundamental gap: the absence of a single operator-algebraic framework that is (a) formally verified, (b) domain-agnostic, and (c) capable of generating falsifiable predictions across scales from quantum condensed matter to planetary geochemistry. Existing frameworks—category theory, differential geometry, quantum field theory—each address portions of this landscape but do not compose across disciplinary boundaries in a computationally verifiable way.</w:t>
      </w:r>
    </w:p>
    <w:p>
      <w:pPr>
        <w:pStyle w:val="Heading2"/>
        <w:spacing w:after="120" w:before="280"/>
      </w:pPr>
      <w:r>
        <w:rPr>
          <w:rFonts w:ascii="Arial" w:cs="Arial" w:eastAsia="Arial" w:hAnsi="Arial"/>
          <w:b/>
          <w:bCs/>
          <w:color w:val="2E6688"/>
          <w:sz w:val="24"/>
          <w:szCs w:val="24"/>
        </w:rPr>
        <w:t xml:space="preserve">2.2 What Principia Orthogona Provides</w:t>
      </w:r>
    </w:p>
    <w:p>
      <w:pPr>
        <w:spacing w:after="80" w:before="80"/>
        <w:jc w:val="both"/>
      </w:pPr>
      <w:r>
        <w:rPr>
          <w:rFonts w:ascii="Arial" w:cs="Arial" w:eastAsia="Arial" w:hAnsi="Arial"/>
          <w:sz w:val="22"/>
          <w:szCs w:val="22"/>
        </w:rPr>
        <w:t xml:space="preserve">The series introduces and fully develops dm³ (Directed Metric Morphogenesis), a mathematical framework built on a four-stage operator cycle:</w:t>
      </w:r>
    </w:p>
    <w:p>
      <w:pPr>
        <w:spacing w:before="80"/>
      </w:pPr>
      <w:r>
        <w:t xml:space="preserve"/>
      </w:r>
    </w:p>
    <w:p>
      <w:pPr>
        <w:spacing w:after="80" w:before="80"/>
        <w:jc w:val="center"/>
      </w:pPr>
      <w:r>
        <w:rPr>
          <w:rFonts w:ascii="Courier New" w:cs="Courier New" w:eastAsia="Courier New" w:hAnsi="Courier New"/>
          <w:b/>
          <w:bCs/>
          <w:color w:val="1A3A5C"/>
          <w:sz w:val="28"/>
          <w:szCs w:val="28"/>
        </w:rPr>
        <w:t xml:space="preserve">C  →  K  →  F  →  U</w:t>
      </w:r>
    </w:p>
    <w:p>
      <w:pPr>
        <w:spacing w:after="120" w:before="0"/>
        <w:jc w:val="center"/>
      </w:pPr>
      <w:r>
        <w:rPr>
          <w:rFonts w:ascii="Arial" w:cs="Arial" w:eastAsia="Arial" w:hAnsi="Arial"/>
          <w:i/>
          <w:iCs/>
          <w:color w:val="555555"/>
          <w:sz w:val="20"/>
          <w:szCs w:val="20"/>
        </w:rPr>
        <w:t xml:space="preserve">(Curvature → Kinetics → Folding → Unfolding)</w:t>
      </w:r>
    </w:p>
    <w:p>
      <w:pPr>
        <w:spacing w:after="80" w:before="80"/>
        <w:jc w:val="both"/>
      </w:pPr>
      <w:r>
        <w:rPr>
          <w:rFonts w:ascii="Arial" w:cs="Arial" w:eastAsia="Arial" w:hAnsi="Arial"/>
          <w:sz w:val="22"/>
          <w:szCs w:val="22"/>
        </w:rPr>
        <w:t xml:space="preserve">The framework is parameterised by a small set of universal constants (μ_max = −2, ε₀ = 1/3, τ = 2π, κ* ≈ 0.882, r* ≈ 0.773, η ≈ 1.839 [Tribonacci constant]) and admits formal verification in Lean 4. The series makes five original contributions to the literature:</w:t>
      </w:r>
    </w:p>
    <w:p>
      <w:pPr>
        <w:pStyle w:val="ListParagraph"/>
        <w:numPr>
          <w:ilvl w:val="0"/>
          <w:numId w:val="2"/>
        </w:numPr>
        <w:spacing w:after="60" w:before="60"/>
      </w:pPr>
      <w:r>
        <w:rPr>
          <w:rFonts w:ascii="Arial" w:cs="Arial" w:eastAsia="Arial" w:hAnsi="Arial"/>
          <w:b/>
          <w:bCs/>
          <w:sz w:val="22"/>
          <w:szCs w:val="22"/>
        </w:rPr>
        <w:t xml:space="preserve">PROVED. </w:t>
      </w:r>
      <w:r>
        <w:rPr>
          <w:rFonts w:ascii="Arial" w:cs="Arial" w:eastAsia="Arial" w:hAnsi="Arial"/>
          <w:sz w:val="22"/>
          <w:szCs w:val="22"/>
        </w:rPr>
        <w:t xml:space="preserve">A proved non-commutativity theorem for the C→K→F→U cycle applied to the Kitaev honeycomb model, with falsifiable out-of-time-order correlator (OTOC) predictions.</w:t>
      </w:r>
    </w:p>
    <w:p>
      <w:pPr>
        <w:pStyle w:val="ListParagraph"/>
        <w:numPr>
          <w:ilvl w:val="0"/>
          <w:numId w:val="2"/>
        </w:numPr>
        <w:spacing w:after="60" w:before="60"/>
      </w:pPr>
      <w:r>
        <w:rPr>
          <w:rFonts w:ascii="Arial" w:cs="Arial" w:eastAsia="Arial" w:hAnsi="Arial"/>
          <w:b/>
          <w:bCs/>
          <w:sz w:val="22"/>
          <w:szCs w:val="22"/>
        </w:rPr>
        <w:t xml:space="preserve">PROVED. </w:t>
      </w:r>
      <w:r>
        <w:rPr>
          <w:rFonts w:ascii="Arial" w:cs="Arial" w:eastAsia="Arial" w:hAnsi="Arial"/>
          <w:sz w:val="22"/>
          <w:szCs w:val="22"/>
        </w:rPr>
        <w:t xml:space="preserve">A unified algebraic account of fermion fractionalization and non-Abelian anyon emergence from first principles.</w:t>
      </w:r>
    </w:p>
    <w:p>
      <w:pPr>
        <w:pStyle w:val="ListParagraph"/>
        <w:numPr>
          <w:ilvl w:val="0"/>
          <w:numId w:val="2"/>
        </w:numPr>
        <w:spacing w:after="60" w:before="60"/>
      </w:pPr>
      <w:r>
        <w:rPr>
          <w:rFonts w:ascii="Arial" w:cs="Arial" w:eastAsia="Arial" w:hAnsi="Arial"/>
          <w:b/>
          <w:bCs/>
          <w:sz w:val="22"/>
          <w:szCs w:val="22"/>
        </w:rPr>
        <w:t xml:space="preserve">VERIFIED. </w:t>
      </w:r>
      <w:r>
        <w:rPr>
          <w:rFonts w:ascii="Arial" w:cs="Arial" w:eastAsia="Arial" w:hAnsi="Arial"/>
          <w:sz w:val="22"/>
          <w:szCs w:val="22"/>
        </w:rPr>
        <w:t xml:space="preserve">Formally verified (sorry_count = 0) Lean 4 proofs of monotonicity for Schumann-frequency acoustic eigenvalues and multi-chamber cavity geometries.</w:t>
      </w:r>
    </w:p>
    <w:p>
      <w:pPr>
        <w:pStyle w:val="ListParagraph"/>
        <w:numPr>
          <w:ilvl w:val="0"/>
          <w:numId w:val="2"/>
        </w:numPr>
        <w:spacing w:after="60" w:before="60"/>
      </w:pPr>
      <w:r>
        <w:rPr>
          <w:rFonts w:ascii="Arial" w:cs="Arial" w:eastAsia="Arial" w:hAnsi="Arial"/>
          <w:b/>
          <w:bCs/>
          <w:sz w:val="22"/>
          <w:szCs w:val="22"/>
        </w:rPr>
        <w:t xml:space="preserve">COMPUTED. </w:t>
      </w:r>
      <w:r>
        <w:rPr>
          <w:rFonts w:ascii="Arial" w:cs="Arial" w:eastAsia="Arial" w:hAnsi="Arial"/>
          <w:sz w:val="22"/>
          <w:szCs w:val="22"/>
        </w:rPr>
        <w:t xml:space="preserve">Domain transfer results demonstrating that the same operator cycle governs riboswitch conformational switching, NGS bridge amplification, microtubule polymerisation, zeolite selectivity, and planetary accretion geometry.</w:t>
      </w:r>
    </w:p>
    <w:p>
      <w:pPr>
        <w:pStyle w:val="ListParagraph"/>
        <w:numPr>
          <w:ilvl w:val="0"/>
          <w:numId w:val="2"/>
        </w:numPr>
        <w:spacing w:after="60" w:before="60"/>
      </w:pPr>
      <w:r>
        <w:rPr>
          <w:rFonts w:ascii="Arial" w:cs="Arial" w:eastAsia="Arial" w:hAnsi="Arial"/>
          <w:b/>
          <w:bCs/>
          <w:sz w:val="22"/>
          <w:szCs w:val="22"/>
        </w:rPr>
        <w:t xml:space="preserve">CONJECTURAL. </w:t>
      </w:r>
      <w:r>
        <w:rPr>
          <w:rFonts w:ascii="Arial" w:cs="Arial" w:eastAsia="Arial" w:hAnsi="Arial"/>
          <w:sz w:val="22"/>
          <w:szCs w:val="22"/>
        </w:rPr>
        <w:t xml:space="preserve">A conjectural g⁶ ≈ 33 gateway-node result in the topological curvature lattice, stated as an open research problem with a formal Lean 4 proof target.</w:t>
      </w:r>
    </w:p>
    <w:p>
      <w:pPr>
        <w:spacing w:before="80"/>
      </w:pPr>
      <w:r>
        <w:t xml:space="preserve"/>
      </w:r>
    </w:p>
    <w:p>
      <w:pPr>
        <w:spacing w:after="80" w:before="80"/>
        <w:jc w:val="both"/>
      </w:pPr>
      <w:r>
        <w:rPr>
          <w:rFonts w:ascii="Arial" w:cs="Arial" w:eastAsia="Arial" w:hAnsi="Arial"/>
          <w:sz w:val="22"/>
          <w:szCs w:val="22"/>
        </w:rPr>
        <w:t xml:space="preserve">The series is distinguished from all prior work by its explicit epistemic stratification—every claim is labelled PROVED, COMPUTED, or CONJECTURAL—and by its machine-checkable formal verification backbone (the AXLE platform).</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3. Intended Readership</w:t>
      </w:r>
    </w:p>
    <w:p>
      <w:pPr>
        <w:spacing w:after="80" w:before="80"/>
        <w:jc w:val="both"/>
      </w:pPr>
      <w:r>
        <w:rPr>
          <w:rFonts w:ascii="Arial" w:cs="Arial" w:eastAsia="Arial" w:hAnsi="Arial"/>
          <w:sz w:val="22"/>
          <w:szCs w:val="22"/>
        </w:rPr>
        <w:t xml:space="preserve">The series addresses four overlapping communities:</w:t>
      </w:r>
    </w:p>
    <w:p>
      <w:pPr>
        <w:pStyle w:val="ListParagraph"/>
        <w:numPr>
          <w:ilvl w:val="0"/>
          <w:numId w:val="2"/>
        </w:numPr>
        <w:spacing w:after="60" w:before="60"/>
      </w:pPr>
      <w:r>
        <w:rPr>
          <w:rFonts w:ascii="Arial" w:cs="Arial" w:eastAsia="Arial" w:hAnsi="Arial"/>
          <w:sz w:val="22"/>
          <w:szCs w:val="22"/>
        </w:rPr>
        <w:t xml:space="preserve">Pure and applied mathematicians working in operator algebras, differential topology, and formal verification (Lean 4 / Mathlib community).</w:t>
      </w:r>
    </w:p>
    <w:p>
      <w:pPr>
        <w:pStyle w:val="ListParagraph"/>
        <w:numPr>
          <w:ilvl w:val="0"/>
          <w:numId w:val="2"/>
        </w:numPr>
        <w:spacing w:after="60" w:before="60"/>
      </w:pPr>
      <w:r>
        <w:rPr>
          <w:rFonts w:ascii="Arial" w:cs="Arial" w:eastAsia="Arial" w:hAnsi="Arial"/>
          <w:sz w:val="22"/>
          <w:szCs w:val="22"/>
        </w:rPr>
        <w:t xml:space="preserve">Theoretical physicists in condensed matter, quantum information, and mathematical physics, particularly those working on topological phases and non-Abelian anyons.</w:t>
      </w:r>
    </w:p>
    <w:p>
      <w:pPr>
        <w:pStyle w:val="ListParagraph"/>
        <w:numPr>
          <w:ilvl w:val="0"/>
          <w:numId w:val="2"/>
        </w:numPr>
        <w:spacing w:after="60" w:before="60"/>
      </w:pPr>
      <w:r>
        <w:rPr>
          <w:rFonts w:ascii="Arial" w:cs="Arial" w:eastAsia="Arial" w:hAnsi="Arial"/>
          <w:sz w:val="22"/>
          <w:szCs w:val="22"/>
        </w:rPr>
        <w:t xml:space="preserve">Computational biologists, systems biologists, and biophysicists seeking algebraic unification tools applicable to molecular conformational dynamics.</w:t>
      </w:r>
    </w:p>
    <w:p>
      <w:pPr>
        <w:pStyle w:val="ListParagraph"/>
        <w:numPr>
          <w:ilvl w:val="0"/>
          <w:numId w:val="2"/>
        </w:numPr>
        <w:spacing w:after="60" w:before="60"/>
      </w:pPr>
      <w:r>
        <w:rPr>
          <w:rFonts w:ascii="Arial" w:cs="Arial" w:eastAsia="Arial" w:hAnsi="Arial"/>
          <w:sz w:val="22"/>
          <w:szCs w:val="22"/>
        </w:rPr>
        <w:t xml:space="preserve">Researchers in materials science, geochemistry, petrochemical catalysis, and planetary science who require a rigorous cross-scale operator language.</w:t>
      </w:r>
    </w:p>
    <w:p>
      <w:pPr>
        <w:spacing w:before="80"/>
      </w:pPr>
      <w:r>
        <w:t xml:space="preserve"/>
      </w:r>
    </w:p>
    <w:p>
      <w:pPr>
        <w:spacing w:after="80" w:before="80"/>
        <w:jc w:val="both"/>
      </w:pPr>
      <w:r>
        <w:rPr>
          <w:rFonts w:ascii="Arial" w:cs="Arial" w:eastAsia="Arial" w:hAnsi="Arial"/>
          <w:sz w:val="22"/>
          <w:szCs w:val="22"/>
        </w:rPr>
        <w:t xml:space="preserve">Later volumes are accessible to advanced graduate students. Volume I serves as a self-contained introduction suitable for a graduate reading seminar. The Lean 4 proof libraries (AXLE platform) are intended for use by the formal verification community independently of the prose volumes.</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4. Content Breakdown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1820"/>
        <w:gridCol w:w="1560"/>
        <w:gridCol w:w="1300"/>
        <w:gridCol w:w="156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Volume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Pages est.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Lean 4</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Vol. I</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Foundations of dm³</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Pure Math / Topology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Published (IngramSpark)</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~240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Vol. II</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Operator Algebra &amp; Formal Proofs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Mathematics / CS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Zenodo preprint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~280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(sorry=0)</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Vol. III</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Physics Applications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Mathematical Physics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Zenodo preprint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~260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Vol. IV</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Life Sciences &amp; Biophysics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Biology / Biophysics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Zenodo preprint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~220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Scoped</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Vol. V</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Earth, Materials &amp; Planetary Science</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Geoscience / Chemistry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Zenodo preprint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~240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Scoped</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GTCT</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Grand Topographical Curvature Theory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Synthesis / Cosmology</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 preparation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~300</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Planned</w:t>
            </w:r>
          </w:p>
        </w:tc>
      </w:tr>
    </w:tbl>
    <w:p>
      <w:pPr>
        <w:spacing w:before="200"/>
      </w:pPr>
      <w:r>
        <w:t xml:space="preserve"/>
      </w:r>
    </w:p>
    <w:p>
      <w:pPr>
        <w:pStyle w:val="Heading2"/>
        <w:spacing w:after="120" w:before="280"/>
      </w:pPr>
      <w:r>
        <w:rPr>
          <w:rFonts w:ascii="Arial" w:cs="Arial" w:eastAsia="Arial" w:hAnsi="Arial"/>
          <w:b/>
          <w:bCs/>
          <w:color w:val="2E6688"/>
          <w:sz w:val="24"/>
          <w:szCs w:val="24"/>
        </w:rPr>
        <w:t xml:space="preserve">Volume I — Foundations of dm³</w:t>
      </w:r>
    </w:p>
    <w:p>
      <w:pPr>
        <w:spacing w:after="80" w:before="80"/>
        <w:jc w:val="both"/>
      </w:pPr>
      <w:r>
        <w:rPr>
          <w:rFonts w:ascii="Arial" w:cs="Arial" w:eastAsia="Arial" w:hAnsi="Arial"/>
          <w:sz w:val="22"/>
          <w:szCs w:val="22"/>
        </w:rPr>
        <w:t xml:space="preserve">Introduces Topographical Orthogenetics, defines the C→K→F→U operator cycle, establishes the universal parameter set, and develops the topological curvature lattice. Includes the conjectural g⁶ ≈ 33 gateway-node theorem stated as a formal open problem. Already published (IngramSpark, ISBN 979-8-9954416-0-1); a revised Cambridge edition is proposed.</w:t>
      </w:r>
    </w:p>
    <w:p>
      <w:pPr>
        <w:pStyle w:val="Heading2"/>
        <w:spacing w:after="120" w:before="280"/>
      </w:pPr>
      <w:r>
        <w:rPr>
          <w:rFonts w:ascii="Arial" w:cs="Arial" w:eastAsia="Arial" w:hAnsi="Arial"/>
          <w:b/>
          <w:bCs/>
          <w:color w:val="2E6688"/>
          <w:sz w:val="24"/>
          <w:szCs w:val="24"/>
        </w:rPr>
        <w:t xml:space="preserve">Volume II — Operator Algebra &amp; Formal Proofs</w:t>
      </w:r>
    </w:p>
    <w:p>
      <w:pPr>
        <w:spacing w:after="80" w:before="80"/>
        <w:jc w:val="both"/>
      </w:pPr>
      <w:r>
        <w:rPr>
          <w:rFonts w:ascii="Arial" w:cs="Arial" w:eastAsia="Arial" w:hAnsi="Arial"/>
          <w:sz w:val="22"/>
          <w:szCs w:val="22"/>
        </w:rPr>
        <w:t xml:space="preserve">Develops the full algebraic machinery of dm³, including the non-commutativity theorem for the Kitaev honeycomb application. Contains the complete Lean 4 proof suite (AXLE platform) with sorry_count = 0 for the core monotonicity results. Establishes the OTOC falsifiability prediction in full mathematical detail. Zenodo preprint available (DOI: 10.5281/zenodo.20230614).</w:t>
      </w:r>
    </w:p>
    <w:p>
      <w:pPr>
        <w:pStyle w:val="Heading2"/>
        <w:spacing w:after="120" w:before="280"/>
      </w:pPr>
      <w:r>
        <w:rPr>
          <w:rFonts w:ascii="Arial" w:cs="Arial" w:eastAsia="Arial" w:hAnsi="Arial"/>
          <w:b/>
          <w:bCs/>
          <w:color w:val="2E6688"/>
          <w:sz w:val="24"/>
          <w:szCs w:val="24"/>
        </w:rPr>
        <w:t xml:space="preserve">Volume III — Physics Applications</w:t>
      </w:r>
    </w:p>
    <w:p>
      <w:pPr>
        <w:spacing w:after="80" w:before="80"/>
        <w:jc w:val="both"/>
      </w:pPr>
      <w:r>
        <w:rPr>
          <w:rFonts w:ascii="Arial" w:cs="Arial" w:eastAsia="Arial" w:hAnsi="Arial"/>
          <w:sz w:val="22"/>
          <w:szCs w:val="22"/>
        </w:rPr>
        <w:t xml:space="preserve">Applies dm³ to quantum condensed matter (Kitaev honeycomb, non-Abelian anyons, fermion fractionalization), electromagnetic unity (Faraday–Maxwell operator mapping), and acoustic physics (Schumann resonance geometry). Includes five accepted conference papers from LAW3M 2026 (Natal, Brazil) as the primary peer-reviewed foundation.</w:t>
      </w:r>
    </w:p>
    <w:p>
      <w:pPr>
        <w:pStyle w:val="Heading2"/>
        <w:spacing w:after="120" w:before="280"/>
      </w:pPr>
      <w:r>
        <w:rPr>
          <w:rFonts w:ascii="Arial" w:cs="Arial" w:eastAsia="Arial" w:hAnsi="Arial"/>
          <w:b/>
          <w:bCs/>
          <w:color w:val="2E6688"/>
          <w:sz w:val="24"/>
          <w:szCs w:val="24"/>
        </w:rPr>
        <w:t xml:space="preserve">Volume IV — Life Sciences &amp; Biophysics</w:t>
      </w:r>
    </w:p>
    <w:p>
      <w:pPr>
        <w:spacing w:after="80" w:before="80"/>
        <w:jc w:val="both"/>
      </w:pPr>
      <w:r>
        <w:rPr>
          <w:rFonts w:ascii="Arial" w:cs="Arial" w:eastAsia="Arial" w:hAnsi="Arial"/>
          <w:sz w:val="22"/>
          <w:szCs w:val="22"/>
        </w:rPr>
        <w:t xml:space="preserve">Demonstrates domain transfer to molecular biology: riboswitch conformational algebra, NGS bridge amplification operator sequences, microtubule polymerisation dynamics (Orch-OR interface), and anesthesia mechanism modelling. Establishes the operator-biological homology between C→K→F→U and conformational switching cycles.</w:t>
      </w:r>
    </w:p>
    <w:p>
      <w:pPr>
        <w:pStyle w:val="Heading2"/>
        <w:spacing w:after="120" w:before="280"/>
      </w:pPr>
      <w:r>
        <w:rPr>
          <w:rFonts w:ascii="Arial" w:cs="Arial" w:eastAsia="Arial" w:hAnsi="Arial"/>
          <w:b/>
          <w:bCs/>
          <w:color w:val="2E6688"/>
          <w:sz w:val="24"/>
          <w:szCs w:val="24"/>
        </w:rPr>
        <w:t xml:space="preserve">Volume V — Earth, Materials &amp; Planetary Science</w:t>
      </w:r>
    </w:p>
    <w:p>
      <w:pPr>
        <w:spacing w:after="80" w:before="80"/>
        <w:jc w:val="both"/>
      </w:pPr>
      <w:r>
        <w:rPr>
          <w:rFonts w:ascii="Arial" w:cs="Arial" w:eastAsia="Arial" w:hAnsi="Arial"/>
          <w:sz w:val="22"/>
          <w:szCs w:val="22"/>
        </w:rPr>
        <w:t xml:space="preserve">Extends dm³ to zeolite catalysis selectivity (ethanol-to-hydrocarbon firing-order mechanism), planetary accretion geometry, archaeoacoustic resonance analysis, and sacred geometry formalisation. The zeolite paper is at Zenodo preprint stage with a target submission to Catalysis Today.</w:t>
      </w:r>
    </w:p>
    <w:p>
      <w:pPr>
        <w:pStyle w:val="Heading2"/>
        <w:spacing w:after="120" w:before="280"/>
      </w:pPr>
      <w:r>
        <w:rPr>
          <w:rFonts w:ascii="Arial" w:cs="Arial" w:eastAsia="Arial" w:hAnsi="Arial"/>
          <w:b/>
          <w:bCs/>
          <w:color w:val="2E6688"/>
          <w:sz w:val="24"/>
          <w:szCs w:val="24"/>
        </w:rPr>
        <w:t xml:space="preserve">GTCT — Grand Topographical Curvature Theory (Synthesis)</w:t>
      </w:r>
    </w:p>
    <w:p>
      <w:pPr>
        <w:spacing w:after="80" w:before="80"/>
        <w:jc w:val="both"/>
      </w:pPr>
      <w:r>
        <w:rPr>
          <w:rFonts w:ascii="Arial" w:cs="Arial" w:eastAsia="Arial" w:hAnsi="Arial"/>
          <w:sz w:val="22"/>
          <w:szCs w:val="22"/>
        </w:rPr>
        <w:t xml:space="preserve">Unifies all five volumes under a single curvature-theoretic framework. Addresses cosmological implications, the g⁶ ≈ 33 conjecture, and the relationship between dm³ and existing mathematical physics (differential geometry, category theory, quantum gravity programmes). Recommended submission venue: Journal of Geometry and Physics.</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5. Relation to Existing Literature</w:t>
      </w:r>
    </w:p>
    <w:p>
      <w:pPr>
        <w:spacing w:after="80" w:before="80"/>
        <w:jc w:val="both"/>
      </w:pPr>
      <w:r>
        <w:rPr>
          <w:rFonts w:ascii="Arial" w:cs="Arial" w:eastAsia="Arial" w:hAnsi="Arial"/>
          <w:sz w:val="22"/>
          <w:szCs w:val="22"/>
        </w:rPr>
        <w:t xml:space="preserve">No existing series addresses the full scope of Principia Orthogona. The closest comparators are:</w:t>
      </w:r>
    </w:p>
    <w:p>
      <w:pPr>
        <w:pStyle w:val="ListParagraph"/>
        <w:numPr>
          <w:ilvl w:val="0"/>
          <w:numId w:val="2"/>
        </w:numPr>
        <w:spacing w:after="60" w:before="60"/>
      </w:pPr>
      <w:r>
        <w:rPr>
          <w:rFonts w:ascii="Arial" w:cs="Arial" w:eastAsia="Arial" w:hAnsi="Arial"/>
          <w:sz w:val="22"/>
          <w:szCs w:val="22"/>
        </w:rPr>
        <w:t xml:space="preserve">Kitaev (2003), "Fault-tolerant quantum computation by anyons," Annals of Physics — foundational to Vol. III but does not provide operator-algebraic unification or formal verification.</w:t>
      </w:r>
    </w:p>
    <w:p>
      <w:pPr>
        <w:pStyle w:val="ListParagraph"/>
        <w:numPr>
          <w:ilvl w:val="0"/>
          <w:numId w:val="2"/>
        </w:numPr>
        <w:spacing w:after="60" w:before="60"/>
      </w:pPr>
      <w:r>
        <w:rPr>
          <w:rFonts w:ascii="Arial" w:cs="Arial" w:eastAsia="Arial" w:hAnsi="Arial"/>
          <w:sz w:val="22"/>
          <w:szCs w:val="22"/>
        </w:rPr>
        <w:t xml:space="preserve">Connes, Noncommutative Geometry (Academic Press, 1994) — shares the ambition of algebraic unification but does not address biological or geochemical domains and predates Lean 4 formal verification.</w:t>
      </w:r>
    </w:p>
    <w:p>
      <w:pPr>
        <w:pStyle w:val="ListParagraph"/>
        <w:numPr>
          <w:ilvl w:val="0"/>
          <w:numId w:val="2"/>
        </w:numPr>
        <w:spacing w:after="60" w:before="60"/>
      </w:pPr>
      <w:r>
        <w:rPr>
          <w:rFonts w:ascii="Arial" w:cs="Arial" w:eastAsia="Arial" w:hAnsi="Arial"/>
          <w:sz w:val="22"/>
          <w:szCs w:val="22"/>
        </w:rPr>
        <w:t xml:space="preserve">The Univalent Foundations Program, Homotopy Type Theory (IAS, 2013) — overlapping formal verification methodology but no physics or life sciences applications.</w:t>
      </w:r>
    </w:p>
    <w:p>
      <w:pPr>
        <w:pStyle w:val="ListParagraph"/>
        <w:numPr>
          <w:ilvl w:val="0"/>
          <w:numId w:val="2"/>
        </w:numPr>
        <w:spacing w:after="60" w:before="60"/>
      </w:pPr>
      <w:r>
        <w:rPr>
          <w:rFonts w:ascii="Arial" w:cs="Arial" w:eastAsia="Arial" w:hAnsi="Arial"/>
          <w:sz w:val="22"/>
          <w:szCs w:val="22"/>
        </w:rPr>
        <w:t xml:space="preserve">Cambridge Monographs on Mathematical Physics (CUP series) — the closest series home; Principia Orthogona extends this tradition by adding formal verification and cross-domain transfer as explicit series commitments.</w:t>
      </w:r>
    </w:p>
    <w:p>
      <w:pPr>
        <w:spacing w:before="80"/>
      </w:pPr>
      <w:r>
        <w:t xml:space="preserve"/>
      </w:r>
    </w:p>
    <w:p>
      <w:pPr>
        <w:spacing w:after="80" w:before="80"/>
        <w:jc w:val="both"/>
      </w:pPr>
      <w:r>
        <w:rPr>
          <w:rFonts w:ascii="Arial" w:cs="Arial" w:eastAsia="Arial" w:hAnsi="Arial"/>
          <w:sz w:val="22"/>
          <w:szCs w:val="22"/>
        </w:rPr>
        <w:t xml:space="preserve">The series does not compete with any current CUP title. It complements the Cambridge Monographs on Mathematical Physics by adding the formal verification dimension that series currently lacks.</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6. Technical Specifications</w:t>
      </w:r>
    </w:p>
    <w:p>
      <w:pPr>
        <w:pStyle w:val="ListParagraph"/>
        <w:numPr>
          <w:ilvl w:val="0"/>
          <w:numId w:val="2"/>
        </w:numPr>
        <w:spacing w:after="60" w:before="60"/>
      </w:pPr>
      <w:r>
        <w:rPr>
          <w:rFonts w:ascii="Arial" w:cs="Arial" w:eastAsia="Arial" w:hAnsi="Arial"/>
          <w:sz w:val="22"/>
          <w:szCs w:val="22"/>
        </w:rPr>
        <w:t xml:space="preserve">Total estimated length: ~1,540 pages across six volumes (range 220–300 pages per volume).</w:t>
      </w:r>
    </w:p>
    <w:p>
      <w:pPr>
        <w:pStyle w:val="ListParagraph"/>
        <w:numPr>
          <w:ilvl w:val="0"/>
          <w:numId w:val="2"/>
        </w:numPr>
        <w:spacing w:after="60" w:before="60"/>
      </w:pPr>
      <w:r>
        <w:rPr>
          <w:rFonts w:ascii="Arial" w:cs="Arial" w:eastAsia="Arial" w:hAnsi="Arial"/>
          <w:sz w:val="22"/>
          <w:szCs w:val="22"/>
        </w:rPr>
        <w:t xml:space="preserve">Illustrations: Each volume contains 8–12 original figures (operator cycle diagrams, curvature lattice visualisations, phase diagrams, Lean 4 proof structure graphs). No photographic content. All figures are original vector graphics.</w:t>
      </w:r>
    </w:p>
    <w:p>
      <w:pPr>
        <w:pStyle w:val="ListParagraph"/>
        <w:numPr>
          <w:ilvl w:val="0"/>
          <w:numId w:val="2"/>
        </w:numPr>
        <w:spacing w:after="60" w:before="60"/>
      </w:pPr>
      <w:r>
        <w:rPr>
          <w:rFonts w:ascii="Arial" w:cs="Arial" w:eastAsia="Arial" w:hAnsi="Arial"/>
          <w:sz w:val="22"/>
          <w:szCs w:val="22"/>
        </w:rPr>
        <w:t xml:space="preserve">Mathematical notation: Standard LaTeX; all equations typeset at publication quality in existing Zenodo preprints.</w:t>
      </w:r>
    </w:p>
    <w:p>
      <w:pPr>
        <w:pStyle w:val="ListParagraph"/>
        <w:numPr>
          <w:ilvl w:val="0"/>
          <w:numId w:val="2"/>
        </w:numPr>
        <w:spacing w:after="60" w:before="60"/>
      </w:pPr>
      <w:r>
        <w:rPr>
          <w:rFonts w:ascii="Arial" w:cs="Arial" w:eastAsia="Arial" w:hAnsi="Arial"/>
          <w:sz w:val="22"/>
          <w:szCs w:val="22"/>
        </w:rPr>
        <w:t xml:space="preserve">Digital components: The AXLE platform (Lean 4 formal verification library) to be hosted as an open-access GitHub repository with DOI, linked from each volume. Interactive HTML dashboards are available for the acoustic and biophysics volumes.</w:t>
      </w:r>
    </w:p>
    <w:p>
      <w:pPr>
        <w:pStyle w:val="ListParagraph"/>
        <w:numPr>
          <w:ilvl w:val="0"/>
          <w:numId w:val="2"/>
        </w:numPr>
        <w:spacing w:after="60" w:before="60"/>
      </w:pPr>
      <w:r>
        <w:rPr>
          <w:rFonts w:ascii="Arial" w:cs="Arial" w:eastAsia="Arial" w:hAnsi="Arial"/>
          <w:sz w:val="22"/>
          <w:szCs w:val="22"/>
        </w:rPr>
        <w:t xml:space="preserve">Open Access: The author is actively pursuing NSF SBIR Phase I funding and NYFA fiscal sponsorship. Open Access publication is preferred and fundable; the author can discuss OA provisions with the acquiring editor.</w:t>
      </w:r>
    </w:p>
    <w:p>
      <w:pPr>
        <w:pStyle w:val="ListParagraph"/>
        <w:numPr>
          <w:ilvl w:val="0"/>
          <w:numId w:val="2"/>
        </w:numPr>
        <w:spacing w:after="60" w:before="60"/>
      </w:pPr>
      <w:r>
        <w:rPr>
          <w:rFonts w:ascii="Arial" w:cs="Arial" w:eastAsia="Arial" w:hAnsi="Arial"/>
          <w:sz w:val="22"/>
          <w:szCs w:val="22"/>
        </w:rPr>
        <w:t xml:space="preserve">Intended completion schedule: Revised Vol. I and Vol. II camera-ready within 12 months of contract. Volumes III–V in 18–24 months. GTCT within 30 months.</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7. Author Credentials</w:t>
      </w:r>
    </w:p>
    <w:p>
      <w:pPr>
        <w:pStyle w:val="Heading2"/>
        <w:spacing w:after="120" w:before="280"/>
      </w:pPr>
      <w:r>
        <w:rPr>
          <w:rFonts w:ascii="Arial" w:cs="Arial" w:eastAsia="Arial" w:hAnsi="Arial"/>
          <w:b/>
          <w:bCs/>
          <w:color w:val="2E6688"/>
          <w:sz w:val="24"/>
          <w:szCs w:val="24"/>
        </w:rPr>
        <w:t xml:space="preserve">Pablo Nogueira Grossi</w:t>
      </w:r>
    </w:p>
    <w:p>
      <w:pPr>
        <w:spacing w:after="80" w:before="80"/>
        <w:jc w:val="both"/>
      </w:pPr>
      <w:r>
        <w:rPr>
          <w:rFonts w:ascii="Arial" w:cs="Arial" w:eastAsia="Arial" w:hAnsi="Arial"/>
          <w:sz w:val="22"/>
          <w:szCs w:val="22"/>
        </w:rPr>
        <w:t xml:space="preserve">Independent Researcher and Founder, G6 LLC (Newark, NJ). ORCID: 0009-0000-6496-2186.</w:t>
      </w:r>
    </w:p>
    <w:p>
      <w:pPr>
        <w:spacing w:before="80"/>
      </w:pPr>
      <w:r>
        <w:t xml:space="preserve"/>
      </w:r>
    </w:p>
    <w:p>
      <w:pPr>
        <w:spacing w:after="80" w:before="80"/>
        <w:jc w:val="both"/>
      </w:pPr>
      <w:r>
        <w:rPr>
          <w:rFonts w:ascii="Arial" w:cs="Arial" w:eastAsia="Arial" w:hAnsi="Arial"/>
          <w:sz w:val="22"/>
          <w:szCs w:val="22"/>
        </w:rPr>
        <w:t xml:space="preserve">Research record (selected):</w:t>
      </w:r>
    </w:p>
    <w:p>
      <w:pPr>
        <w:pStyle w:val="ListParagraph"/>
        <w:numPr>
          <w:ilvl w:val="0"/>
          <w:numId w:val="2"/>
        </w:numPr>
        <w:spacing w:after="60" w:before="60"/>
      </w:pPr>
      <w:r>
        <w:rPr>
          <w:rFonts w:ascii="Arial" w:cs="Arial" w:eastAsia="Arial" w:hAnsi="Arial"/>
          <w:sz w:val="22"/>
          <w:szCs w:val="22"/>
        </w:rPr>
        <w:t xml:space="preserve">Five papers accepted at the XIII Latin American Workshop on Mathematical and Experimental Physics (LAW3M 2026), Natal, Brazil, August 3–7, 2026 — the primary peer-reviewed venue for the physics applications of dm³.</w:t>
      </w:r>
    </w:p>
    <w:p>
      <w:pPr>
        <w:pStyle w:val="ListParagraph"/>
        <w:numPr>
          <w:ilvl w:val="0"/>
          <w:numId w:val="2"/>
        </w:numPr>
        <w:spacing w:after="60" w:before="60"/>
      </w:pPr>
      <w:r>
        <w:rPr>
          <w:rFonts w:ascii="Arial" w:cs="Arial" w:eastAsia="Arial" w:hAnsi="Arial"/>
          <w:sz w:val="22"/>
          <w:szCs w:val="22"/>
        </w:rPr>
        <w:t xml:space="preserve">Zenodo Principia Orthogona series: 20+ deposits across mathematics, physics, biology, and geochemistry (series root DOI: 10.5281/zenodo.19117399).</w:t>
      </w:r>
    </w:p>
    <w:p>
      <w:pPr>
        <w:pStyle w:val="ListParagraph"/>
        <w:numPr>
          <w:ilvl w:val="0"/>
          <w:numId w:val="2"/>
        </w:numPr>
        <w:spacing w:after="60" w:before="60"/>
      </w:pPr>
      <w:r>
        <w:rPr>
          <w:rFonts w:ascii="Arial" w:cs="Arial" w:eastAsia="Arial" w:hAnsi="Arial"/>
          <w:sz w:val="22"/>
          <w:szCs w:val="22"/>
        </w:rPr>
        <w:t xml:space="preserve">Lean 4 formal verification: Seven zero-sorry proof files verified and deposited; dm³-dual-cavity package (Monotonicity.lean, MultiChamber.lean, Examples.lean) with sorry_count = 0.</w:t>
      </w:r>
    </w:p>
    <w:p>
      <w:pPr>
        <w:pStyle w:val="ListParagraph"/>
        <w:numPr>
          <w:ilvl w:val="0"/>
          <w:numId w:val="2"/>
        </w:numPr>
        <w:spacing w:after="60" w:before="60"/>
      </w:pPr>
      <w:r>
        <w:rPr>
          <w:rFonts w:ascii="Arial" w:cs="Arial" w:eastAsia="Arial" w:hAnsi="Arial"/>
          <w:sz w:val="22"/>
          <w:szCs w:val="22"/>
        </w:rPr>
        <w:t xml:space="preserve">NYFA Artist Project Fiscal Sponsorship (approved 2025) supporting conference travel and research dissemination.</w:t>
      </w:r>
    </w:p>
    <w:p>
      <w:pPr>
        <w:pStyle w:val="ListParagraph"/>
        <w:numPr>
          <w:ilvl w:val="0"/>
          <w:numId w:val="2"/>
        </w:numPr>
        <w:spacing w:after="60" w:before="60"/>
      </w:pPr>
      <w:r>
        <w:rPr>
          <w:rFonts w:ascii="Arial" w:cs="Arial" w:eastAsia="Arial" w:hAnsi="Arial"/>
          <w:sz w:val="22"/>
          <w:szCs w:val="22"/>
        </w:rPr>
        <w:t xml:space="preserve">Book 1 of the series self-published (IngramSpark, 2024, ISBN 979-8-9954416-0-1); currently sold via Gumroad (brodanova6.gumroad.com).</w:t>
      </w:r>
    </w:p>
    <w:p>
      <w:pPr>
        <w:pStyle w:val="ListParagraph"/>
        <w:numPr>
          <w:ilvl w:val="0"/>
          <w:numId w:val="2"/>
        </w:numPr>
        <w:spacing w:after="60" w:before="60"/>
      </w:pPr>
      <w:r>
        <w:rPr>
          <w:rFonts w:ascii="Arial" w:cs="Arial" w:eastAsia="Arial" w:hAnsi="Arial"/>
          <w:sz w:val="22"/>
          <w:szCs w:val="22"/>
        </w:rPr>
        <w:t xml:space="preserve">WorldQuant IQC 2026 Stage 2 participant (Bronze and Silver certificates); demonstrating applied quantitative research capacity.</w:t>
      </w:r>
    </w:p>
    <w:p>
      <w:pPr>
        <w:spacing w:before="80"/>
      </w:pPr>
      <w:r>
        <w:t xml:space="preserve"/>
      </w:r>
    </w:p>
    <w:p>
      <w:pPr>
        <w:spacing w:after="80" w:before="80"/>
        <w:jc w:val="both"/>
      </w:pPr>
      <w:r>
        <w:rPr>
          <w:rFonts w:ascii="Arial" w:cs="Arial" w:eastAsia="Arial" w:hAnsi="Arial"/>
          <w:sz w:val="22"/>
          <w:szCs w:val="22"/>
        </w:rPr>
        <w:t xml:space="preserve">Teaching and institutional context:</w:t>
      </w:r>
    </w:p>
    <w:p>
      <w:pPr>
        <w:pStyle w:val="ListParagraph"/>
        <w:numPr>
          <w:ilvl w:val="0"/>
          <w:numId w:val="2"/>
        </w:numPr>
        <w:spacing w:after="60" w:before="60"/>
      </w:pPr>
      <w:r>
        <w:rPr>
          <w:rFonts w:ascii="Arial" w:cs="Arial" w:eastAsia="Arial" w:hAnsi="Arial"/>
          <w:sz w:val="22"/>
          <w:szCs w:val="22"/>
        </w:rPr>
        <w:t xml:space="preserve">ESL Instructor, Hour House and UCEDA School of Elizabeth, Newark, NJ (current).</w:t>
      </w:r>
    </w:p>
    <w:p>
      <w:pPr>
        <w:pStyle w:val="ListParagraph"/>
        <w:numPr>
          <w:ilvl w:val="0"/>
          <w:numId w:val="2"/>
        </w:numPr>
        <w:spacing w:after="60" w:before="60"/>
      </w:pPr>
      <w:r>
        <w:rPr>
          <w:rFonts w:ascii="Arial" w:cs="Arial" w:eastAsia="Arial" w:hAnsi="Arial"/>
          <w:sz w:val="22"/>
          <w:szCs w:val="22"/>
        </w:rPr>
        <w:t xml:space="preserve">Founder, Newark Wellness Soundworks at 229 Ballantine Pkwy, Newark — community wellness and archaeoacoustics research centre.</w:t>
      </w:r>
    </w:p>
    <w:p>
      <w:pPr>
        <w:pStyle w:val="ListParagraph"/>
        <w:numPr>
          <w:ilvl w:val="0"/>
          <w:numId w:val="2"/>
        </w:numPr>
        <w:spacing w:after="60" w:before="60"/>
      </w:pPr>
      <w:r>
        <w:rPr>
          <w:rFonts w:ascii="Arial" w:cs="Arial" w:eastAsia="Arial" w:hAnsi="Arial"/>
          <w:sz w:val="22"/>
          <w:szCs w:val="22"/>
        </w:rPr>
        <w:t xml:space="preserve">25-year independent framework development history; private Codex of approximately 18,000 pages produced 2000–2024.</w:t>
      </w:r>
    </w:p>
    <w:p>
      <w:pPr>
        <w:spacing w:before="80"/>
      </w:pPr>
      <w:r>
        <w:t xml:space="preserve"/>
      </w:r>
    </w:p>
    <w:p>
      <w:pPr>
        <w:spacing w:after="80" w:before="80"/>
        <w:jc w:val="both"/>
      </w:pPr>
      <w:r>
        <w:rPr>
          <w:rFonts w:ascii="Arial" w:cs="Arial" w:eastAsia="Arial" w:hAnsi="Arial"/>
          <w:sz w:val="22"/>
          <w:szCs w:val="22"/>
        </w:rPr>
        <w:t xml:space="preserve">The author explicitly declares AI collaboration (Claude, Copilot, Grok) as part of the research methodology and maintains audit logs of all AI-assisted work, consistent with emerging academic norms for transparent AI use in research.</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8. Open Access</w:t>
      </w:r>
    </w:p>
    <w:p>
      <w:pPr>
        <w:spacing w:after="80" w:before="80"/>
        <w:jc w:val="both"/>
      </w:pPr>
      <w:r>
        <w:rPr>
          <w:rFonts w:ascii="Arial" w:cs="Arial" w:eastAsia="Arial" w:hAnsi="Arial"/>
          <w:sz w:val="22"/>
          <w:szCs w:val="22"/>
        </w:rPr>
        <w:t xml:space="preserve">The author has active fiscal sponsorship via NYFA and is pursuing NSF SBIR Phase I funding. Open Access publication across the series is strongly preferred. The author can provide further details on funder OA policy compliance upon request from the acquiring editor.</w:t>
      </w:r>
    </w:p>
    <w:p>
      <w:pPr>
        <w:pBdr>
          <w:bottom w:val="single" w:color="1A3A5C" w:sz="4" w:space="1"/>
        </w:pBdr>
        <w:spacing w:after="200" w:before="200"/>
      </w:pPr>
      <w:r>
        <w:t xml:space="preserve"/>
      </w:r>
    </w:p>
    <w:p>
      <w:pPr>
        <w:pStyle w:val="Heading1"/>
        <w:spacing w:after="160" w:before="400"/>
      </w:pPr>
      <w:r>
        <w:rPr>
          <w:rFonts w:ascii="Arial" w:cs="Arial" w:eastAsia="Arial" w:hAnsi="Arial"/>
          <w:b/>
          <w:bCs/>
          <w:color w:val="1A3A5C"/>
          <w:sz w:val="28"/>
          <w:szCs w:val="28"/>
        </w:rPr>
        <w:t xml:space="preserve">9. Contact</w:t>
      </w:r>
    </w:p>
    <w:p>
      <w:pPr>
        <w:spacing w:after="80" w:before="80"/>
        <w:jc w:val="left"/>
      </w:pPr>
      <w:r>
        <w:rPr>
          <w:rFonts w:ascii="Arial" w:cs="Arial" w:eastAsia="Arial" w:hAnsi="Arial"/>
          <w:sz w:val="22"/>
          <w:szCs w:val="22"/>
        </w:rPr>
        <w:t xml:space="preserve">Pablo Nogueira Grossi</w:t>
      </w:r>
    </w:p>
    <w:p>
      <w:pPr>
        <w:spacing w:after="80" w:before="80"/>
        <w:jc w:val="left"/>
      </w:pPr>
      <w:r>
        <w:rPr>
          <w:rFonts w:ascii="Arial" w:cs="Arial" w:eastAsia="Arial" w:hAnsi="Arial"/>
          <w:sz w:val="22"/>
          <w:szCs w:val="22"/>
        </w:rPr>
        <w:t xml:space="preserve">G6 LLC, Newark, NJ</w:t>
      </w:r>
    </w:p>
    <w:p>
      <w:pPr>
        <w:spacing w:after="80" w:before="80"/>
        <w:jc w:val="left"/>
      </w:pPr>
      <w:r>
        <w:rPr>
          <w:rFonts w:ascii="Arial" w:cs="Arial" w:eastAsia="Arial" w:hAnsi="Arial"/>
          <w:sz w:val="22"/>
          <w:szCs w:val="22"/>
        </w:rPr>
        <w:t xml:space="preserve">pablogrossi@hotmail.com  |  g6llc@proton.me</w:t>
      </w:r>
    </w:p>
    <w:p>
      <w:pPr>
        <w:spacing w:after="80" w:before="80"/>
        <w:jc w:val="left"/>
      </w:pPr>
      <w:r>
        <w:rPr>
          <w:rFonts w:ascii="Arial" w:cs="Arial" w:eastAsia="Arial" w:hAnsi="Arial"/>
          <w:sz w:val="22"/>
          <w:szCs w:val="22"/>
        </w:rPr>
        <w:t xml:space="preserve">ORCID: 0009-0000-6496-2186</w:t>
      </w:r>
    </w:p>
    <w:p>
      <w:pPr>
        <w:spacing w:after="80" w:before="80"/>
        <w:jc w:val="left"/>
      </w:pPr>
      <w:r>
        <w:rPr>
          <w:rFonts w:ascii="Arial" w:cs="Arial" w:eastAsia="Arial" w:hAnsi="Arial"/>
          <w:sz w:val="22"/>
          <w:szCs w:val="22"/>
        </w:rPr>
        <w:t xml:space="preserve">Series DOI: 10.5281/zenodo.19117399</w:t>
      </w:r>
    </w:p>
    <w:p>
      <w:pPr>
        <w:spacing w:before="200"/>
      </w:pPr>
      <w:r>
        <w:t xml:space="preserve"/>
      </w:r>
    </w:p>
    <w:p>
      <w:pPr>
        <w:spacing w:after="80" w:before="200"/>
        <w:jc w:val="center"/>
      </w:pPr>
      <w:r>
        <w:rPr>
          <w:rFonts w:ascii="Arial" w:cs="Arial" w:eastAsia="Arial" w:hAnsi="Arial"/>
          <w:i/>
          <w:iCs/>
          <w:color w:val="888888"/>
          <w:sz w:val="20"/>
          <w:szCs w:val="20"/>
        </w:rPr>
        <w:t xml:space="preserve">— End of Prospectus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6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2026-06-09T14:45:11.366Z</dcterms:created>
  <dcterms:modified xsi:type="dcterms:W3CDTF">2026-06-09T14:45:11.367Z</dcterms:modified>
</cp:coreProperties>
</file>

<file path=docProps/custom.xml><?xml version="1.0" encoding="utf-8"?>
<Properties xmlns="http://schemas.openxmlformats.org/officeDocument/2006/custom-properties" xmlns:vt="http://schemas.openxmlformats.org/officeDocument/2006/docPropsVTypes"/>
</file>