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 w:before="0"/>
      </w:pPr>
    </w:p>
    <w:p>
      <w:pPr>
        <w:jc w:val="center"/>
      </w:pPr>
      <w:r>
        <w:rPr>
          <w:rFonts w:ascii="Arial" w:cs="Arial" w:eastAsia="Arial" w:hAnsi="Arial"/>
          <w:b/>
          <w:bCs/>
          <w:caps/>
          <w:color w:val="1B2A4A"/>
          <w:sz w:val="52"/>
          <w:szCs w:val="52"/>
        </w:rPr>
        <w:t xml:space="preserve">PRINCIPIA ORTHOGONA</w:t>
      </w:r>
    </w:p>
    <w:p>
      <w:pPr>
        <w:spacing w:after="60" w:before="120"/>
        <w:jc w:val="center"/>
      </w:pPr>
      <w:r>
        <w:rPr>
          <w:rFonts w:ascii="Palatino Linotype" w:cs="Palatino Linotype" w:eastAsia="Palatino Linotype" w:hAnsi="Palatino Linotype"/>
          <w:color w:val="2E8B7A"/>
          <w:sz w:val="30"/>
          <w:szCs w:val="30"/>
        </w:rPr>
        <w:t xml:space="preserve">Operator Non-Commutativity in dm³ Contact Geometry</w:t>
      </w:r>
    </w:p>
    <w:p>
      <w:pPr>
        <w:pBdr>
          <w:bottom w:val="single" w:color="2E8B7A" w:sz="8" w:space="1"/>
        </w:pBdr>
        <w:spacing w:after="0" w:before="0"/>
      </w:pPr>
    </w:p>
    <w:p>
      <w:pPr>
        <w:spacing w:after="18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Seven Canonical Proof Strategies</w:t>
      </w:r>
    </w:p>
    <w:p>
      <w:pPr>
        <w:spacing w:after="400" w:before="80"/>
        <w:jc w:val="center"/>
      </w:pPr>
      <w:r>
        <w:rPr>
          <w:rFonts w:ascii="Palatino Linotype" w:cs="Palatino Linotype" w:eastAsia="Palatino Linotype" w:hAnsi="Palatino Linotype"/>
          <w:color w:val="555555"/>
          <w:sz w:val="22"/>
          <w:szCs w:val="22"/>
        </w:rPr>
        <w:t xml:space="preserve">A Reusable Template for Theorem D1-1 through D1-6</w:t>
      </w:r>
    </w:p>
    <w:p>
      <w:pPr>
        <w:spacing w:after="2000" w:before="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G6 LLC • PrincipiaOrthogona • Zenodo 10.5281/zenodo.19117399</w:t>
      </w:r>
    </w:p>
    <w:p>
      <w:pPr>
        <w:spacing w:before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ISBN 979-8-9954416-6-3</w:t>
      </w:r>
    </w:p>
    <w:p>
      <w:r>
        <w:br w:type="page"/>
      </w:r>
    </w:p>
    <w:p>
      <w:pPr>
        <w:pStyle w:val="Heading1"/>
        <w:pBdr>
          <w:bottom w:val="single" w:color="2E8B7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Preamble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This document encodes the seven canonical proof strategies for establishing the non-commutativity [K, F] ≠ 0 and the OFF-lock / ON-permission duality central to the dm³ operator algebra. It is structured as a “live template”: each proof class has a fixed skeleton, stated result, proof obligation checklist, and falsifiable prediction slot. Populate the [PLACEHOLDER] fields for each new domain application.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Core Setup (Common to All Proofs)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Configuration space: Ω = [0, 1], conformational coordinate η. Wavefunction ψ ∈ L²(Ω), normalized.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G = U ∘ F ∘ K ∘ C   on the dm³ contact manifold (α = dz − r²dθ)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The Four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&amp; 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 — Constraint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Cψ = ψ(η)·exp(−α(1−η)). OFF-biasing contraction. Sets initial condition in OFF basin.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K — Curvature Gate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Kψ = θ(η∗ − η)·ψ(η). Heaviside projection onto OFF subspace. Threshold η∗ = κ∗_ribo / κ_max.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 — Fold Operator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Fψ = ψ(η) + λ|ψ(η)|²ψ(η). Nonlinear Whitney A₁ fold. Nemytskii-type with coupling λ &gt; 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 — Unfold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U[ψ] = Σₙ |uₙ⟩⟨uₙ|ψ⟩ exp(−Eₙt/ℏ). ON-mode projection. Observable: P_ON = ∫ⁿ_∗¹ |ψ_final|² dη.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8B7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Operator Algebra Proof</w:t>
      </w:r>
    </w:p>
    <w:p>
      <w:pPr>
        <w:spacing w:after="160" w:before="0"/>
      </w:pPr>
      <w:r>
        <w:rPr>
          <w:rFonts w:ascii="Palatino Linotype" w:cs="Palatino Linotype" w:eastAsia="Palatino Linotype" w:hAnsi="Palatino Linotype"/>
          <w:color w:val="555555"/>
          <w:sz w:val="22"/>
          <w:szCs w:val="22"/>
        </w:rPr>
        <w:t xml:space="preserve">The canonical baseline — rigorous L²(Ω) treatment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8B7A" w:sz="12"/>
              <w:bottom w:val="single" w:color="CCCCCC" w:sz="1"/>
              <w:right w:val="single" w:color="CCCCCC" w:sz="1"/>
            </w:tcBorders>
            <w:shd w:fill="E8F6F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Theorem D1-1 (Operator Algebra Proof)</w:t>
            </w:r>
          </w:p>
          <w:p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[K, F]ψ = −λ|ψ(η∗)|²ψ(η∗)δ(η−η∗) ≠ 0 as an element of L²(Ω).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Proof Sketch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1. Define K as multiplication by θ(η∗−η) and F as a Nemytskii operator on L²(Ω).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2. Compute KFψ = θ(η∗−η)[ψ + λ|ψ|²ψ] and FKψ = θ(η∗−η)ψ + λθ(η∗−η)|ψ|²ψ.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3. Observe pointwise equality, then identify the boundary jump: the fold couples with the discontinuity of θ at η∗.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4. Extract the δ(η−η∗) term; its coefficient is nonzero whenever ψ(η∗) ≠ 0.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5. Conclude [K,F] ≠ 0 and show OFF-lock (C→K→F→U gives P_ON = 0) by support propagation.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Proof Obligation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Verify domain and core of K and F are precisely specified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Confirm ψ(η∗) ≠ 0 for the generic wavefunction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Check that θ is treated as an L≀∡ multiplier, not a smooth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State the distribution space where the δ term lives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Provide the Theorem D1-2 support calculation explicitly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Falsifiable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8B7A" w:sz="12"/>
              <w:bottom w:val="single" w:color="CCCCCC" w:sz="1"/>
              <w:right w:val="single" w:color="CCCCCC" w:sz="1"/>
            </w:tcBorders>
            <w:shd w:fill="E8F6F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PREDICTION</w:t>
            </w:r>
          </w:p>
          <w:p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P_ON = 0 under C→K→F→U for any ψ with ψ(η∗) ≠ 0 and λ &gt; 0. [DATA SOURCE: [PLACEHOLDER]]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Domain Application Slot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888888"/>
          <w:sz w:val="22"/>
          <w:szCs w:val="22"/>
        </w:rPr>
        <w:t xml:space="preserve">Domain: [DOMAIN NAME]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888888"/>
          <w:sz w:val="22"/>
          <w:szCs w:val="22"/>
        </w:rPr>
        <w:t xml:space="preserve">Parameter mapping: η∗ ↔ [THRESHOLD VARIABLE], λ ↔ [COUPLING CONSTANT]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888888"/>
          <w:sz w:val="22"/>
          <w:szCs w:val="22"/>
        </w:rPr>
        <w:t xml:space="preserve">Data source: [REFERENCE / EXPERIMENT]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888888"/>
          <w:sz w:val="22"/>
          <w:szCs w:val="22"/>
        </w:rPr>
        <w:t xml:space="preserve">Status: [ ] Pending  [ ] In Progress  [ ] Complete</w:t>
      </w:r>
    </w:p>
    <w:p>
      <w:pPr>
        <w:spacing w:after="120" w:before="0"/>
      </w:pPr>
    </w:p>
    <w:p>
      <w:pPr>
        <w:pBdr>
          <w:bottom w:val="single" w:color="2E8B7A" w:sz="8" w:space="1"/>
        </w:pBdr>
        <w:spacing w:after="0" w:before="0"/>
      </w:pPr>
    </w:p>
    <w:p>
      <w:r>
        <w:br w:type="page"/>
      </w:r>
    </w:p>
    <w:p>
      <w:pPr>
        <w:pStyle w:val="Heading1"/>
        <w:pBdr>
          <w:bottom w:val="single" w:color="2E8B7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Distribution-Theoretic Boundary Proof</w:t>
      </w:r>
    </w:p>
    <w:p>
      <w:pPr>
        <w:spacing w:after="160" w:before="0"/>
      </w:pPr>
      <w:r>
        <w:rPr>
          <w:rFonts w:ascii="Palatino Linotype" w:cs="Palatino Linotype" w:eastAsia="Palatino Linotype" w:hAnsi="Palatino Linotype"/>
          <w:color w:val="555555"/>
          <w:sz w:val="22"/>
          <w:szCs w:val="22"/>
        </w:rPr>
        <w:t xml:space="preserve">Makes the δ(η−η∗) term fully formal in D′(Ω)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8B7A" w:sz="12"/>
              <w:bottom w:val="single" w:color="CCCCCC" w:sz="1"/>
              <w:right w:val="single" w:color="CCCCCC" w:sz="1"/>
            </w:tcBorders>
            <w:shd w:fill="E8F6F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Theorem D1-2 (Distribution-Theoretic Boundary Proof)</w:t>
            </w:r>
          </w:p>
          <w:p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In D′(0,1), [K,F]ψ is a nonzero distribution supported at {η∗} for any ψ ∈ C⁰(0,1) with ψ(η∗) ≠ 0.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Proof Sketch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1. Promote θ(η∗−η) to a distribution in D′(Ω); compute dθ/dη = −δ(η−η∗) in the distributional sense.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2. Test the commutator via pairing with smooth test functions φ ∈ D(Ω): compute ⟨KFψ, φ⟩ − ⟨FKψ, φ⟩.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3. Use θ2 = θ to show the nonlinear term in N(Kψ) differs from KN(ψ) by the boundary contribution.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4. Isolate the boundary term: [K,F]ψ = −λ|ψ(η∗)|²ψ(η∗)δ(η−η∗) as a distribution.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5. Confirm this is the minimal regularity required for the theorem; the L² proof does not see this term.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Proof Obligation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Specify the test function space D(Ω) and its topology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Verify θ(η∗−η) ∈ D′(Ω) with well-defined distributional derivative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State the Nemytskii regularity condition on F required for the pairing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Confirm the result holds for ψ in a dense subset of L²(Ω)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Cross-reference with the L² Proof 1 to show the two are consistent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Falsifiable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8B7A" w:sz="12"/>
              <w:bottom w:val="single" w:color="CCCCCC" w:sz="1"/>
              <w:right w:val="single" w:color="CCCCCC" w:sz="1"/>
            </w:tcBorders>
            <w:shd w:fill="E8F6F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PREDICTION</w:t>
            </w:r>
          </w:p>
          <w:p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The commutator [K,F] is a nonzero distribution at η∗ for generic ψ. The strength |[ψ(η∗)]|²|ψ(η∗)| is measurable via SHAPE reactivity at the fold point. [DATA: [PLACEHOLDER]]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Domain Application Slot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888888"/>
          <w:sz w:val="22"/>
          <w:szCs w:val="22"/>
        </w:rPr>
        <w:t xml:space="preserve">Domain: [DOMAIN NAME]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888888"/>
          <w:sz w:val="22"/>
          <w:szCs w:val="22"/>
        </w:rPr>
        <w:t xml:space="preserve">Parameter mapping: η∗ ↔ [THRESHOLD VARIABLE], λ ↔ [COUPLING CONSTANT]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888888"/>
          <w:sz w:val="22"/>
          <w:szCs w:val="22"/>
        </w:rPr>
        <w:t xml:space="preserve">Data source: [REFERENCE / EXPERIMENT]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888888"/>
          <w:sz w:val="22"/>
          <w:szCs w:val="22"/>
        </w:rPr>
        <w:t xml:space="preserve">Status: [ ] Pending  [ ] In Progress  [ ] Complete</w:t>
      </w:r>
    </w:p>
    <w:p>
      <w:pPr>
        <w:spacing w:after="120" w:before="0"/>
      </w:pPr>
    </w:p>
    <w:p>
      <w:pPr>
        <w:pBdr>
          <w:bottom w:val="single" w:color="2E8B7A" w:sz="8" w:space="1"/>
        </w:pBdr>
        <w:spacing w:after="0" w:before="0"/>
      </w:pPr>
    </w:p>
    <w:p>
      <w:r>
        <w:br w:type="page"/>
      </w:r>
    </w:p>
    <w:p>
      <w:pPr>
        <w:pStyle w:val="Heading1"/>
        <w:pBdr>
          <w:bottom w:val="single" w:color="2E8B7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Catastrophe Theory Proof</w:t>
      </w:r>
    </w:p>
    <w:p>
      <w:pPr>
        <w:spacing w:after="160" w:before="0"/>
      </w:pPr>
      <w:r>
        <w:rPr>
          <w:rFonts w:ascii="Palatino Linotype" w:cs="Palatino Linotype" w:eastAsia="Palatino Linotype" w:hAnsi="Palatino Linotype"/>
          <w:color w:val="555555"/>
          <w:sz w:val="22"/>
          <w:szCs w:val="22"/>
        </w:rPr>
        <w:t xml:space="preserve">Whitney A₁ fold: path-ordering in control-state 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8B7A" w:sz="12"/>
              <w:bottom w:val="single" w:color="CCCCCC" w:sz="1"/>
              <w:right w:val="single" w:color="CCCCCC" w:sz="1"/>
            </w:tcBorders>
            <w:shd w:fill="E8F6F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Theorem D1-3 (Catastrophe Theory Proof)</w:t>
            </w:r>
          </w:p>
          <w:p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The Whitney A₁ potential V(η;κ) = η³/3 − (κ−κ∗)η is non-integrable. The two operator sequences C→K→F→U and C→F→K→U define non-homotopic paths in the (η, κ) control-state plane, yielding distinct P_ON.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Proof Sketch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1. Define the catastrophe manifold: equilibria of ∂V/∂η = η² − (κ−κ∗) = 0 give the fold curve κ = κ∗ + η².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2. Interpret K as a vertical projection (in the κ direction) onto the lower branch of the fold.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3. Interpret F as a horizontal bifurcation (in the η direction) across the fold curve.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4. Show path A (K first): vertical projection traps the system on the lower branch; F has no path across the cusp. P_ON = 0.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5. Show path B (F first): horizontal bifurcation crosses the fold before projection; the system reaches the ON basin. P_ON &gt; 0.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6. Conclude by non-integrability: loops encircling the cusp have nonzero integral, so the two paths are inequivalent.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Proof Obligation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Verify the Whitney A₁ normal form is valid for the local potential near η∗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State the control space coordinates (η, κ) and the fold curve equation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Confirm path A is genuinely trapped (vertical tangent argument)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Confirm path B crosses the fold (fold is non-integrable, so crossing is possible but irreversible)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State the homotopy class of the two paths explicitly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Falsifiable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8B7A" w:sz="12"/>
              <w:bottom w:val="single" w:color="CCCCCC" w:sz="1"/>
              <w:right w:val="single" w:color="CCCCCC" w:sz="1"/>
            </w:tcBorders>
            <w:shd w:fill="E8F6F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PREDICTION</w:t>
            </w:r>
          </w:p>
          <w:p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Antagonist (high κ∗): C→K→F→U, P_ON = 0. Aminoglycoside (low κ∗): C→F→K→U, P_ON &gt; 0. Correlation: IC₅₀ ∝ 1/(κ₀ + ΔV_steric). [DATA: [PLACEHOLDER]]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Domain Application Slot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888888"/>
          <w:sz w:val="22"/>
          <w:szCs w:val="22"/>
        </w:rPr>
        <w:t xml:space="preserve">Domain: [DOMAIN NAME]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888888"/>
          <w:sz w:val="22"/>
          <w:szCs w:val="22"/>
        </w:rPr>
        <w:t xml:space="preserve">Parameter mapping: η∗ ↔ [THRESHOLD VARIABLE], λ ↔ [COUPLING CONSTANT]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888888"/>
          <w:sz w:val="22"/>
          <w:szCs w:val="22"/>
        </w:rPr>
        <w:t xml:space="preserve">Data source: [REFERENCE / EXPERIMENT]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888888"/>
          <w:sz w:val="22"/>
          <w:szCs w:val="22"/>
        </w:rPr>
        <w:t xml:space="preserve">Status: [ ] Pending  [ ] In Progress  [ ] Complete</w:t>
      </w:r>
    </w:p>
    <w:p>
      <w:pPr>
        <w:spacing w:after="120" w:before="0"/>
      </w:pPr>
    </w:p>
    <w:p>
      <w:pPr>
        <w:pBdr>
          <w:bottom w:val="single" w:color="2E8B7A" w:sz="8" w:space="1"/>
        </w:pBdr>
        <w:spacing w:after="0" w:before="0"/>
      </w:pPr>
    </w:p>
    <w:p>
      <w:r>
        <w:br w:type="page"/>
      </w:r>
    </w:p>
    <w:p>
      <w:pPr>
        <w:pStyle w:val="Heading1"/>
        <w:pBdr>
          <w:bottom w:val="single" w:color="2E8B7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Contact Geometry / dm³ Proof</w:t>
      </w:r>
    </w:p>
    <w:p>
      <w:pPr>
        <w:spacing w:after="160" w:before="0"/>
      </w:pPr>
      <w:r>
        <w:rPr>
          <w:rFonts w:ascii="Palatino Linotype" w:cs="Palatino Linotype" w:eastAsia="Palatino Linotype" w:hAnsi="Palatino Linotype"/>
          <w:color w:val="555555"/>
          <w:sz w:val="22"/>
          <w:szCs w:val="22"/>
        </w:rPr>
        <w:t xml:space="preserve">Non-integrability of kerα at the Whitney fold; μ_max = −2 fixes Hill 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8B7A" w:sz="12"/>
              <w:bottom w:val="single" w:color="CCCCCC" w:sz="1"/>
              <w:right w:val="single" w:color="CCCCCC" w:sz="1"/>
            </w:tcBorders>
            <w:shd w:fill="E8F6F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Theorem D1-4 (Contact Geometry / dm³ Proof)</w:t>
            </w:r>
          </w:p>
          <w:p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On the dm³ contact manifold (M, α = dz−r²dθ), the flows generated by K and F are non-commuting contact transformations. The non-commutativity is equivalent to non-integrability of the contact distribution kerα at η∗. The curvature bound μ_max = −2 yields Hill coefficient n ≈ 3.64.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Proof Sketch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1. Lift the operators C, K, F, U to contact transformations on M preserving α up to a conformal factor.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2. Identify K as a contact Hamiltonian flow constraining the p-coordinate (curvature gate).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3. Identify F as the singular contact transformation generated by V(η;κ) = η³/3 − (κ−κ∗)η.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4. Show kerα is maximally non-integrable: α ∧ (dα)^n ≠ 0. At the fold, the contact distribution is highly twisted.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5. Prove non-commutativity of the two flows follows from non-integrability of kerα.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6. Derive Hill n: the dm³ Lipschitz bound on the curvature gives |d P_ON/d(ln c)| ≤ n/4 at c = c∗; saturation by μ_max = −2 yields n ≈ 3.64.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7. State Coherence Bridge: contact morphisms φ_ij preserve α and μ_max across domains D1, D2, D3.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Proof Obligation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Specify the dm³ coordinates (q, p, z) and the contact form α = dz − r²dθ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Verify μ_max = −2 from the Legendre-Fenchel dual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Confirm that K and F generate bona fide contact transformations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Prove kerα is non-integrable using the Frobenius criterion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Derive the Hill coefficient from μ_max without free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Construct the contact morphisms φ_12 and φ_13 explicitly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Falsifiable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8B7A" w:sz="12"/>
              <w:bottom w:val="single" w:color="CCCCCC" w:sz="1"/>
              <w:right w:val="single" w:color="CCCCCC" w:sz="1"/>
            </w:tcBorders>
            <w:shd w:fill="E8F6F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PREDICTION</w:t>
            </w:r>
          </w:p>
          <w:p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n ≈ 3.64 ± 0.4 in dose-response curves across D1 (riboswitch), D2 (NGS primer density), D3 (microtubule catastrophe). KS p &gt; 0.05 required. [DATA: [PLACEHOLDER]]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Domain Application Slot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888888"/>
          <w:sz w:val="22"/>
          <w:szCs w:val="22"/>
        </w:rPr>
        <w:t xml:space="preserve">Domain: [DOMAIN NAME]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888888"/>
          <w:sz w:val="22"/>
          <w:szCs w:val="22"/>
        </w:rPr>
        <w:t xml:space="preserve">Parameter mapping: η∗ ↔ [THRESHOLD VARIABLE], λ ↔ [COUPLING CONSTANT]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888888"/>
          <w:sz w:val="22"/>
          <w:szCs w:val="22"/>
        </w:rPr>
        <w:t xml:space="preserve">Data source: [REFERENCE / EXPERIMENT]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888888"/>
          <w:sz w:val="22"/>
          <w:szCs w:val="22"/>
        </w:rPr>
        <w:t xml:space="preserve">Status: [ ] Pending  [ ] In Progress  [ ] Complete</w:t>
      </w:r>
    </w:p>
    <w:p>
      <w:pPr>
        <w:spacing w:after="120" w:before="0"/>
      </w:pPr>
    </w:p>
    <w:p>
      <w:pPr>
        <w:pBdr>
          <w:bottom w:val="single" w:color="2E8B7A" w:sz="8" w:space="1"/>
        </w:pBdr>
        <w:spacing w:after="0" w:before="0"/>
      </w:pPr>
    </w:p>
    <w:p>
      <w:r>
        <w:br w:type="page"/>
      </w:r>
    </w:p>
    <w:p>
      <w:pPr>
        <w:pStyle w:val="Heading1"/>
        <w:pBdr>
          <w:bottom w:val="single" w:color="2E8B7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Spectral / Markov Generator Proof</w:t>
      </w:r>
    </w:p>
    <w:p>
      <w:pPr>
        <w:spacing w:after="160" w:before="0"/>
      </w:pPr>
      <w:r>
        <w:rPr>
          <w:rFonts w:ascii="Palatino Linotype" w:cs="Palatino Linotype" w:eastAsia="Palatino Linotype" w:hAnsi="Palatino Linotype"/>
          <w:color w:val="555555"/>
          <w:sz w:val="22"/>
          <w:szCs w:val="22"/>
        </w:rPr>
        <w:t xml:space="preserve">Absorbing vs recurrent basin structure; readable by experimentalists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8B7A" w:sz="12"/>
              <w:bottom w:val="single" w:color="CCCCCC" w:sz="1"/>
              <w:right w:val="single" w:color="CCCCCC" w:sz="1"/>
            </w:tcBorders>
            <w:shd w:fill="E8F6F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Theorem D1-5 (Spectral / Markov Generator Proof)</w:t>
            </w:r>
          </w:p>
          <w:p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Under generator ordering C→K→F→U, the OFF subspace is absorbing (leading eigenvector supported in OFF). Under C→F→K→U, the ON subspace is recurrent. The two orderings produce different invariant subspaces.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Proof Sketch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1. Discretize Ω into OFF states {O_i}, boundary state B, and ON states {N_j}.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2. Encode C, K, F, U as Markov generators G_C, G_K, G_F, G_U on the probability vector.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3. OFF-lock: after G_C then G_K, OFF is absorbing. Show G_F and G_U cannot break this: the F generator has zero rate for OFF→ON transitions after K has acted.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4. ON-permitting: G_F fires before G_K, introducing OFF↔ON transitions via B. G_K then acts on a vector already with ON support; it cannot remove it.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5. Compute leading eigenvalues in each case and identify the invariant subspace.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6. Translate to observable: stationary ON probability equals the weight of the leading eigenvector on the ON subspace.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Proof Obligation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Specify the state space and generator matrix entries explicitly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Verify the Perron-Frobenius conditions for the absorbing / recurrent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Confirm G_K and G_F do not commute as matrices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Compute the spectral gap in both orderings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Show the kinetic rate interpretation aligns with the biological parameters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Falsifiable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8B7A" w:sz="12"/>
              <w:bottom w:val="single" w:color="CCCCCC" w:sz="1"/>
              <w:right w:val="single" w:color="CCCCCC" w:sz="1"/>
            </w:tcBorders>
            <w:shd w:fill="E8F6F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PREDICTION</w:t>
            </w:r>
          </w:p>
          <w:p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Stationary P_ON under drug-order generators &gt; 0; under antagonist-order generators = 0. Measurable via single-molecule FRET or ribosome loading assays. [DATA: [PLACEHOLDER]]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Domain Application Slot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888888"/>
          <w:sz w:val="22"/>
          <w:szCs w:val="22"/>
        </w:rPr>
        <w:t xml:space="preserve">Domain: [DOMAIN NAME]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888888"/>
          <w:sz w:val="22"/>
          <w:szCs w:val="22"/>
        </w:rPr>
        <w:t xml:space="preserve">Parameter mapping: η∗ ↔ [THRESHOLD VARIABLE], λ ↔ [COUPLING CONSTANT]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888888"/>
          <w:sz w:val="22"/>
          <w:szCs w:val="22"/>
        </w:rPr>
        <w:t xml:space="preserve">Data source: [REFERENCE / EXPERIMENT]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888888"/>
          <w:sz w:val="22"/>
          <w:szCs w:val="22"/>
        </w:rPr>
        <w:t xml:space="preserve">Status: [ ] Pending  [ ] In Progress  [ ] Complete</w:t>
      </w:r>
    </w:p>
    <w:p>
      <w:pPr>
        <w:spacing w:after="120" w:before="0"/>
      </w:pPr>
    </w:p>
    <w:p>
      <w:pPr>
        <w:pBdr>
          <w:bottom w:val="single" w:color="2E8B7A" w:sz="8" w:space="1"/>
        </w:pBdr>
        <w:spacing w:after="0" w:before="0"/>
      </w:pPr>
    </w:p>
    <w:p>
      <w:r>
        <w:br w:type="page"/>
      </w:r>
    </w:p>
    <w:p>
      <w:pPr>
        <w:pStyle w:val="Heading1"/>
        <w:pBdr>
          <w:bottom w:val="single" w:color="2E8B7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Numerical / Constructive Proof</w:t>
      </w:r>
    </w:p>
    <w:p>
      <w:pPr>
        <w:spacing w:after="160" w:before="0"/>
      </w:pPr>
      <w:r>
        <w:rPr>
          <w:rFonts w:ascii="Palatino Linotype" w:cs="Palatino Linotype" w:eastAsia="Palatino Linotype" w:hAnsi="Palatino Linotype"/>
          <w:color w:val="555555"/>
          <w:sz w:val="22"/>
          <w:szCs w:val="22"/>
        </w:rPr>
        <w:t xml:space="preserve">Explicit grids, figures for the monograph; persuades skeptics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8B7A" w:sz="12"/>
              <w:bottom w:val="single" w:color="CCCCCC" w:sz="1"/>
              <w:right w:val="single" w:color="CCCCCC" w:sz="1"/>
            </w:tcBorders>
            <w:shd w:fill="E8F6F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Theorem D1-6 (Numerical / Constructive Proof)</w:t>
            </w:r>
          </w:p>
          <w:p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For any explicit ψ₀(η) peaked at 0, numerical application of C→K→F→U gives P_ON = 0 to machine precision, while C→F→K→U gives P_ON &gt; 0. Varying η∗(c) produces a sigmoid fit with n ≈ 3.64.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Proof Sketch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1. Choose ψ₀(η_i) = N⋅exp(−βη_i²) on a grid of N = 200 points in [0,1].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2. Apply C: multiply by exp(−α(1−η_i)), renormalize.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3. Apply K (OFF-lock): zero out all η_i &gt; η∗. Apply F. Compute P_ON = Σ_{i&gt;η∗} |ψ|² Δη ≈ 0.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4. Restart: apply F first (ON-path), then K. Compute P_ON &gt; 0 for sufficient λ.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5. Sweep c: for each antagonist concentration c, set η∗(c) accordingly, compute P_ON(c), fit sigmoid.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6. Verify n ≈ 3.64 ± 0.4 from the fit.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Proof Obligation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Provide Python/NumPy code or Lean 4 verified numerics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Report grid convergence: results stable for N ≥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Plot |ψ|(η) at each stage for both orderings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Plot P_ON(c) vs c and overlay the theoretical sigmoid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State the fitting procedure and uncertainty quantification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Falsifiable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8B7A" w:sz="12"/>
              <w:bottom w:val="single" w:color="CCCCCC" w:sz="1"/>
              <w:right w:val="single" w:color="CCCCCC" w:sz="1"/>
            </w:tcBorders>
            <w:shd w:fill="E8F6F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PREDICTION</w:t>
            </w:r>
          </w:p>
          <w:p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Numerical P_ON(c) fits P_ON,₀ / (1 + (c/c∗)^n) with n = 3.64 ± 0.4 for any ψ₀ peaked in the OFF basin. [CODE: [PLACEHOLDER REPO LINK]]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Domain Application Slot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888888"/>
          <w:sz w:val="22"/>
          <w:szCs w:val="22"/>
        </w:rPr>
        <w:t xml:space="preserve">Domain: [DOMAIN NAME]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888888"/>
          <w:sz w:val="22"/>
          <w:szCs w:val="22"/>
        </w:rPr>
        <w:t xml:space="preserve">Parameter mapping: η∗ ↔ [THRESHOLD VARIABLE], λ ↔ [COUPLING CONSTANT]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888888"/>
          <w:sz w:val="22"/>
          <w:szCs w:val="22"/>
        </w:rPr>
        <w:t xml:space="preserve">Data source: [REFERENCE / EXPERIMENT]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888888"/>
          <w:sz w:val="22"/>
          <w:szCs w:val="22"/>
        </w:rPr>
        <w:t xml:space="preserve">Status: [ ] Pending  [ ] In Progress  [ ] Complete</w:t>
      </w:r>
    </w:p>
    <w:p>
      <w:pPr>
        <w:spacing w:after="120" w:before="0"/>
      </w:pPr>
    </w:p>
    <w:p>
      <w:pPr>
        <w:pBdr>
          <w:bottom w:val="single" w:color="2E8B7A" w:sz="8" w:space="1"/>
        </w:pBdr>
        <w:spacing w:after="0" w:before="0"/>
      </w:pPr>
    </w:p>
    <w:p>
      <w:r>
        <w:br w:type="page"/>
      </w:r>
    </w:p>
    <w:p>
      <w:pPr>
        <w:pStyle w:val="Heading1"/>
        <w:pBdr>
          <w:bottom w:val="single" w:color="2E8B7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Information Geometry Proof</w:t>
      </w:r>
    </w:p>
    <w:p>
      <w:pPr>
        <w:spacing w:after="160" w:before="0"/>
      </w:pPr>
      <w:r>
        <w:rPr>
          <w:rFonts w:ascii="Palatino Linotype" w:cs="Palatino Linotype" w:eastAsia="Palatino Linotype" w:hAnsi="Palatino Linotype"/>
          <w:color w:val="555555"/>
          <w:sz w:val="22"/>
          <w:szCs w:val="22"/>
        </w:rPr>
        <w:t xml:space="preserve">Fisher metric, geodesic escape, and statistical manifold curvature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8B7A" w:sz="12"/>
              <w:bottom w:val="single" w:color="CCCCCC" w:sz="1"/>
              <w:right w:val="single" w:color="CCCCCC" w:sz="1"/>
            </w:tcBorders>
            <w:shd w:fill="E8F6F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Theorem D1-7 (Information Geometry Proof)</w:t>
            </w:r>
          </w:p>
          <w:p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On the statistical manifold M of conformational distributions, equipped with the Fisher information metric g_ij, the projection K and the curvature-increasing flow F do not commute because M has negative curvature (μ_max = −2). The C→K→F→U path is geodesically trapped in M_OFF; the C→F→K→U path escapes along a negatively curved geodesic into M_ON.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Proof Sketch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1. Define the statistical manifold M = {p(η) = |ψ(η)|²} with Fisher metric g_ij = ∫ p(η) ∂_i ln p ∂_j ln p dη.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2. Identify M_OFF = {p : p(η) = 0 for η &gt; η∗} as a submanifold; K = orthogonal projection onto M_OFF under g.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3. Show F acts as a curvature-increasing flow on M (amplifies Fisher information in high-p regions).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4. Use negative curvature (μ_max = −2) to show projection and curvature flow do not commute: geodesics diverge depending on order.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5. OFF-lock path: K projects first, trapping geodesics in M_OFF; F cannot escape under negative curvature.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6. ON-path: F increases curvature before projection; the geodesic leaves M_OFF and cannot be projected back without distortion.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Proof Obligation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Specify the Fisher metric explicitly on the parametric family of 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Compute the sectional curvature of M at the fold point η∗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Verify that μ_max = −2 enters as a curvature bound on 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Prove projection and curvature flow non-commutativity via the curvature tensor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sz w:val="22"/>
          <w:szCs w:val="22"/>
        </w:rPr>
        <w:t xml:space="preserve">State the connection to statistical physics (free energy landscape curvature)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Falsifiable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8B7A" w:sz="12"/>
              <w:bottom w:val="single" w:color="CCCCCC" w:sz="1"/>
              <w:right w:val="single" w:color="CCCCCC" w:sz="1"/>
            </w:tcBorders>
            <w:shd w:fill="E8F6F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PREDICTION</w:t>
            </w:r>
          </w:p>
          <w:p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The Fisher information at the fold point η∗ is measurable via SHAPE-MaP or cryo-EM ensemble analysis. Curvature bound predicts: σ²(η∗) ⋅ F_Fisher ≈ 1/(n-1). [DATA: [PLACEHOLDER]]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Domain Application Slot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888888"/>
          <w:sz w:val="22"/>
          <w:szCs w:val="22"/>
        </w:rPr>
        <w:t xml:space="preserve">Domain: [DOMAIN NAME]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888888"/>
          <w:sz w:val="22"/>
          <w:szCs w:val="22"/>
        </w:rPr>
        <w:t xml:space="preserve">Parameter mapping: η∗ ↔ [THRESHOLD VARIABLE], λ ↔ [COUPLING CONSTANT]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888888"/>
          <w:sz w:val="22"/>
          <w:szCs w:val="22"/>
        </w:rPr>
        <w:t xml:space="preserve">Data source: [REFERENCE / EXPERIMENT]</w:t>
      </w: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888888"/>
          <w:sz w:val="22"/>
          <w:szCs w:val="22"/>
        </w:rPr>
        <w:t xml:space="preserve">Status: [ ] Pending  [ ] In Progress  [ ] Complete</w:t>
      </w:r>
    </w:p>
    <w:p>
      <w:pPr>
        <w:spacing w:after="120" w:before="0"/>
      </w:pPr>
    </w:p>
    <w:p>
      <w:pPr>
        <w:pBdr>
          <w:bottom w:val="single" w:color="2E8B7A" w:sz="8" w:space="1"/>
        </w:pBdr>
        <w:spacing w:after="0" w:before="0"/>
      </w:pPr>
    </w:p>
    <w:p>
      <w:r>
        <w:br w:type="page"/>
      </w:r>
    </w:p>
    <w:p>
      <w:pPr>
        <w:pStyle w:val="Heading1"/>
        <w:pBdr>
          <w:bottom w:val="single" w:color="2E8B7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Synthesis: Seven Proof Strategies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9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Proof 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Framework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Result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Added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1B2A4A"/>
                <w:sz w:val="19"/>
                <w:szCs w:val="19"/>
              </w:rPr>
              <w:t xml:space="preserve">1. Operator Algebra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L²(Ω) + Nemytskii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[K,F]ψ = −λ|ψ(η∗)|²ψ(η∗)δ(η−η∗) ≠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Algebraic fingerprint of irreversibility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1B2A4A"/>
                <w:sz w:val="19"/>
                <w:szCs w:val="19"/>
              </w:rPr>
              <w:t xml:space="preserve">2. Distribution Theory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D′(Ω), Heaviside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Boundary δ term unavoidable in D′ sense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Makes δ fully formal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1B2A4A"/>
                <w:sz w:val="19"/>
                <w:szCs w:val="19"/>
              </w:rPr>
              <w:t xml:space="preserve">3. Catastrophe Theory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Whitney A₁ fold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Path-dependence across non-integrable fold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Geometric heart; D1-2/3 as corollaries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1B2A4A"/>
                <w:sz w:val="19"/>
                <w:szCs w:val="19"/>
              </w:rPr>
              <w:t xml:space="preserve">4. Contact Geometry (dm³)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ker α, μ_max = −2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Non-integrability ⇔ non-commutativity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Hill n ≈ 3.64 from μ_max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1B2A4A"/>
                <w:sz w:val="19"/>
                <w:szCs w:val="19"/>
              </w:rPr>
              <w:t xml:space="preserve">5. Spectral / Markov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Stochastic generators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Absorbing vs recurrent basin structure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Experimentalist-readable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1B2A4A"/>
                <w:sz w:val="19"/>
                <w:szCs w:val="19"/>
              </w:rPr>
              <w:t xml:space="preserve">6. Numerical / Constructive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Explicit ψ, grid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P_ON = 0 vs P_ON &gt; 0 by direct computation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Visual proof; generates figures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1B2A4A"/>
                <w:sz w:val="19"/>
                <w:szCs w:val="19"/>
              </w:rPr>
              <w:t xml:space="preserve">7. Information Geometry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Fisher metric, geodesics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Projection ∘ curvature flow ≠ curvature flow ∘ projection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Statistical physics connection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000000"/>
          <w:sz w:val="22"/>
          <w:szCs w:val="22"/>
        </w:rPr>
        <w:t xml:space="preserve">Note: Proofs 1+2 form the analytic baseline. Proofs 3+4 provide the geometric unification. Proof 5 is the biological translation. Proof 6 is the constructive / computational bridge. Proof 7 connects to statistical physics and information theory.</w:t>
      </w:r>
    </w:p>
    <w:p>
      <w:pPr>
        <w:spacing w:after="120" w:before="0"/>
      </w:pPr>
    </w:p>
    <w:p>
      <w:pPr>
        <w:pBdr>
          <w:bottom w:val="single" w:color="2E8B7A" w:sz="8" w:space="1"/>
        </w:pBdr>
        <w:spacing w:after="0" w:before="0"/>
      </w:pPr>
    </w:p>
    <w:p>
      <w:r>
        <w:br w:type="page"/>
      </w:r>
    </w:p>
    <w:p>
      <w:pPr>
        <w:pStyle w:val="Heading1"/>
        <w:pBdr>
          <w:bottom w:val="single" w:color="2E8B7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Falsifiable Predictions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200"/>
        <w:gridCol w:w="1500"/>
        <w:gridCol w:w="1600"/>
        <w:gridCol w:w="9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SHAPE Linearity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κ_ribo = −RT·ln(r(η))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R² &gt; 0.90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[INSTRUMENT / PAPER]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[ ] 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Steric Bulk Correlation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IC₅₀ ∝ 1/(κ₀ + ΔV_steric)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Spearman ρ &gt; 0.80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[DATASET]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[ ] 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Hill Coefficient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n ≈ 3.64 ± 0.4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KS p &gt; 0.05 across domains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[DOSE-RESPONSE DATA]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19"/>
                <w:szCs w:val="19"/>
              </w:rPr>
              <w:t xml:space="preserve">[ ] Open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Palatino Linotype" w:cs="Palatino Linotype" w:eastAsia="Palatino Linotype" w:hAnsi="Palatino Linotype"/>
          <w:b w:val="false"/>
          <w:bCs w:val="false"/>
          <w:color w:val="555555"/>
          <w:sz w:val="22"/>
          <w:szCs w:val="22"/>
        </w:rPr>
        <w:t xml:space="preserve">Instructions: for each new domain application, clone this table and fill the Data Source and Status columns. Thresholds are fixed by dm³ geometry and must not be adjusted post-hoc.</w:t>
      </w:r>
    </w:p>
    <w:p>
      <w:pPr>
        <w:spacing w:after="120" w:before="0"/>
      </w:pPr>
    </w:p>
    <w:p>
      <w:pPr>
        <w:pBdr>
          <w:bottom w:val="single" w:color="2E8B7A" w:sz="8" w:space="1"/>
        </w:pBdr>
        <w:spacing w:after="0" w:before="0"/>
      </w:pPr>
    </w:p>
    <w:sectPr>
      <w:headerReference w:type="default" r:id="rId7"/>
      <w:footerReference w:type="default" r:id="rId8"/>
      <w:pgSz w:w="12240" w:h="15840" w:orient="portrait"/>
      <w:pgMar w:top="144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B7A" w:sz="4" w:space="6"/>
      </w:pBdr>
      <w:spacing w:after="0" w:before="12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G6 LLC • PrincipiaOrthogona •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7A" w:sz="4" w:space="6"/>
      </w:pBdr>
      <w:spacing w:after="120" w:before="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Principia Orthogona  •  Operator Non-Commutativity  •  Seven Proof Strategies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A6FA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E8B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2026-06-10T04:51:52.502Z</dcterms:created>
  <dcterms:modified xsi:type="dcterms:W3CDTF">2026-06-10T04:51:52.502Z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