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240" w:after="0"/></w:pPr></w:p><w:p><w:pPr><w:spacing w:before="0" w:after="40"/><w:jc w:val="center"/></w:pPr><w:r><w:rPr><w:rFonts w:ascii="Arial" w:cs="Arial" w:eastAsia="Arial" w:hAnsi="Arial"/><w:b/><w:bCs/><w:color w:val="595959"/><w:sz w:val="18"/><w:szCs w:val="18"/></w:rPr><w:t xml:space="preserve">NSF DIVISION OF MATHEMATICAL SCIENCES (DMS)</w:t></w:r></w:p><w:p><w:pPr><w:spacing w:before="0" w:after="80"/><w:jc w:val="center"/></w:pPr><w:r><w:rPr><w:rFonts w:ascii="Arial" w:cs="Arial" w:eastAsia="Arial" w:hAnsi="Arial"/><w:color w:val="595959"/><w:sz w:val="18"/><w:szCs w:val="18"/></w:rPr><w:t xml:space="preserve">Geometric Analysis · Applied Mathematics · Mathematical Biology</w:t></w:r></w:p><w:p><w:pPr><w:spacing w:before="80" w:after="40"/><w:jc w:val="center"/></w:pPr><w:r><w:rPr><w:rFonts w:ascii="Arial" w:cs="Arial" w:eastAsia="Arial" w:hAnsi="Arial"/><w:b/><w:bCs/><w:color w:val="1F4E79"/><w:sz w:val="40"/><w:szCs w:val="40"/></w:rPr><w:t xml:space="preserve">Principia Orthogona: A Unified Mathematical Framework</w:t></w:r></w:p><w:p><w:pPr><w:spacing w:before="0" w:after="160"/><w:jc w:val="center"/></w:pPr><w:r><w:rPr><w:rFonts w:ascii="Arial" w:cs="Arial" w:eastAsia="Arial" w:hAnsi="Arial"/><w:b/><w:bCs/><w:color w:val="2E74B5"/><w:sz w:val="30"/><w:szCs w:val="30"/></w:rPr><w:t xml:space="preserve">Generative Transitions, Contact Geometry, and Cross-Domain Instantiation</w:t></w:r></w:p><w:p><w:pPr><w:pBdr><w:bottom w:val="single" w:color="9DC3E6" w:sz="4" w:space="1"/></w:pBdr><w:spacing w:before="80" w:after="80"/></w:pPr></w:p><w:p><w:pPr><w:spacing w:before="80" w:after="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6960"/></w:tblGrid><w:tr><w:tc><w:tcPr><w:tcW w:type="dxa" w:w="2400"/><w:tcBorders><w:top w:val="single" w:color="9DC3E6" w:sz="1"/><w:left w:val="single" w:color="9DC3E6" w:sz="1"/><w:bottom w:val="single" w:color="9DC3E6" w:sz="1"/><w:right w:val="single" w:color="9DC3E6" w:sz="1"/></w:tcBorders><w:shd w:fill="DEEAF1" w:val="clear"/><w:tcMar><w:top w:type="dxa" w:w="80"/><w:left w:type="dxa" w:w="120"/><w:bottom w:type="dxa" w:w="80"/><w:right w:type="dxa" w:w="120"/></w:tcMar></w:tcPr><w:p><w:r><w:rPr><w:rFonts w:ascii="Arial" w:cs="Arial" w:eastAsia="Arial" w:hAnsi="Arial"/><w:b/><w:bCs/><w:sz w:val="20"/><w:szCs w:val="20"/></w:rPr><w:t xml:space="preserve">Principal Investigator</w:t></w:r></w:p></w:tc><w:tc><w:tcPr><w:tcW w:type="dxa" w:w="6960"/><w:tcBorders><w:top w:val="single" w:color="9DC3E6" w:sz="1"/><w:left w:val="single" w:color="9DC3E6" w:sz="1"/><w:bottom w:val="single" w:color="9DC3E6" w:sz="1"/><w:right w:val="single" w:color="9DC3E6" w:sz="1"/></w:tcBorders><w:tcMar><w:top w:type="dxa" w:w="80"/><w:left w:type="dxa" w:w="120"/><w:bottom w:type="dxa" w:w="80"/><w:right w:type="dxa" w:w="120"/></w:tcMar></w:tcPr><w:p><w:r><w:rPr><w:rFonts w:ascii="Arial" w:cs="Arial" w:eastAsia="Arial" w:hAnsi="Arial"/><w:sz w:val="20"/><w:szCs w:val="20"/></w:rPr><w:t xml:space="preserve">Pablo Nogueira Grossi</w:t></w:r></w:p></w:tc></w:tr><w:tr><w:tc><w:tcPr><w:tcW w:type="dxa" w:w="2400"/><w:tcBorders><w:top w:val="single" w:color="9DC3E6" w:sz="1"/><w:left w:val="single" w:color="9DC3E6" w:sz="1"/><w:bottom w:val="single" w:color="9DC3E6" w:sz="1"/><w:right w:val="single" w:color="9DC3E6" w:sz="1"/></w:tcBorders><w:shd w:fill="DEEAF1" w:val="clear"/><w:tcMar><w:top w:type="dxa" w:w="80"/><w:left w:type="dxa" w:w="120"/><w:bottom w:type="dxa" w:w="80"/><w:right w:type="dxa" w:w="120"/></w:tcMar></w:tcPr><w:p><w:r><w:rPr><w:rFonts w:ascii="Arial" w:cs="Arial" w:eastAsia="Arial" w:hAnsi="Arial"/><w:b/><w:bCs/><w:sz w:val="20"/><w:szCs w:val="20"/></w:rPr><w:t xml:space="preserve">Affiliation</w:t></w:r></w:p></w:tc><w:tc><w:tcPr><w:tcW w:type="dxa" w:w="6960"/><w:tcBorders><w:top w:val="single" w:color="9DC3E6" w:sz="1"/><w:left w:val="single" w:color="9DC3E6" w:sz="1"/><w:bottom w:val="single" w:color="9DC3E6" w:sz="1"/><w:right w:val="single" w:color="9DC3E6" w:sz="1"/></w:tcBorders><w:tcMar><w:top w:type="dxa" w:w="80"/><w:left w:type="dxa" w:w="120"/><w:bottom w:type="dxa" w:w="80"/><w:right w:type="dxa" w:w="120"/></w:tcMar></w:tcPr><w:p><w:r><w:rPr><w:rFonts w:ascii="Arial" w:cs="Arial" w:eastAsia="Arial" w:hAnsi="Arial"/><w:sz w:val="20"/><w:szCs w:val="20"/></w:rPr><w:t xml:space="preserve">UCEDA School (ESL) — Academic Coordinator, Elizabeth, NJ</w:t></w:r></w:p></w:tc></w:tr><w:tr><w:tc><w:tcPr><w:tcW w:type="dxa" w:w="2400"/><w:tcBorders><w:top w:val="single" w:color="9DC3E6" w:sz="1"/><w:left w:val="single" w:color="9DC3E6" w:sz="1"/><w:bottom w:val="single" w:color="9DC3E6" w:sz="1"/><w:right w:val="single" w:color="9DC3E6" w:sz="1"/></w:tcBorders><w:shd w:fill="DEEAF1" w:val="clear"/><w:tcMar><w:top w:type="dxa" w:w="80"/><w:left w:type="dxa" w:w="120"/><w:bottom w:type="dxa" w:w="80"/><w:right w:type="dxa" w:w="120"/></w:tcMar></w:tcPr><w:p><w:r><w:rPr><w:rFonts w:ascii="Arial" w:cs="Arial" w:eastAsia="Arial" w:hAnsi="Arial"/><w:b/><w:bCs/><w:sz w:val="20"/><w:szCs w:val="20"/></w:rPr><w:t xml:space="preserve">Email</w:t></w:r></w:p></w:tc><w:tc><w:tcPr><w:tcW w:type="dxa" w:w="6960"/><w:tcBorders><w:top w:val="single" w:color="9DC3E6" w:sz="1"/><w:left w:val="single" w:color="9DC3E6" w:sz="1"/><w:bottom w:val="single" w:color="9DC3E6" w:sz="1"/><w:right w:val="single" w:color="9DC3E6" w:sz="1"/></w:tcBorders><w:tcMar><w:top w:type="dxa" w:w="80"/><w:left w:type="dxa" w:w="120"/><w:bottom w:type="dxa" w:w="80"/><w:right w:type="dxa" w:w="120"/></w:tcMar></w:tcPr><w:p><w:r><w:rPr><w:rFonts w:ascii="Arial" w:cs="Arial" w:eastAsia="Arial" w:hAnsi="Arial"/><w:sz w:val="20"/><w:szCs w:val="20"/></w:rPr><w:t xml:space="preserve">pablogrossi@hotmail.com</w:t></w:r></w:p></w:tc></w:tr><w:tr><w:tc><w:tcPr><w:tcW w:type="dxa" w:w="2400"/><w:tcBorders><w:top w:val="single" w:color="9DC3E6" w:sz="1"/><w:left w:val="single" w:color="9DC3E6" w:sz="1"/><w:bottom w:val="single" w:color="9DC3E6" w:sz="1"/><w:right w:val="single" w:color="9DC3E6" w:sz="1"/></w:tcBorders><w:shd w:fill="DEEAF1" w:val="clear"/><w:tcMar><w:top w:type="dxa" w:w="80"/><w:left w:type="dxa" w:w="120"/><w:bottom w:type="dxa" w:w="80"/><w:right w:type="dxa" w:w="120"/></w:tcMar></w:tcPr><w:p><w:r><w:rPr><w:rFonts w:ascii="Arial" w:cs="Arial" w:eastAsia="Arial" w:hAnsi="Arial"/><w:b/><w:bCs/><w:sz w:val="20"/><w:szCs w:val="20"/></w:rPr><w:t xml:space="preserve">NSF Target Programs</w:t></w:r></w:p></w:tc><w:tc><w:tcPr><w:tcW w:type="dxa" w:w="6960"/><w:tcBorders><w:top w:val="single" w:color="9DC3E6" w:sz="1"/><w:left w:val="single" w:color="9DC3E6" w:sz="1"/><w:bottom w:val="single" w:color="9DC3E6" w:sz="1"/><w:right w:val="single" w:color="9DC3E6" w:sz="1"/></w:tcBorders><w:tcMar><w:top w:type="dxa" w:w="80"/><w:left w:type="dxa" w:w="120"/><w:bottom w:type="dxa" w:w="80"/><w:right w:type="dxa" w:w="120"/></w:tcMar></w:tcPr><w:p><w:r><w:rPr><w:rFonts w:ascii="Arial" w:cs="Arial" w:eastAsia="Arial" w:hAnsi="Arial"/><w:sz w:val="20"/><w:szCs w:val="20"/></w:rPr><w:t xml:space="preserve">DMS – Geometric Analysis; DMS – Applied Mathematics; DMS – Mathematical Biology</w:t></w:r></w:p></w:tc></w:tr><w:tr><w:tc><w:tcPr><w:tcW w:type="dxa" w:w="2400"/><w:tcBorders><w:top w:val="single" w:color="9DC3E6" w:sz="1"/><w:left w:val="single" w:color="9DC3E6" w:sz="1"/><w:bottom w:val="single" w:color="9DC3E6" w:sz="1"/><w:right w:val="single" w:color="9DC3E6" w:sz="1"/></w:tcBorders><w:shd w:fill="DEEAF1" w:val="clear"/><w:tcMar><w:top w:type="dxa" w:w="80"/><w:left w:type="dxa" w:w="120"/><w:bottom w:type="dxa" w:w="80"/><w:right w:type="dxa" w:w="120"/></w:tcMar></w:tcPr><w:p><w:r><w:rPr><w:rFonts w:ascii="Arial" w:cs="Arial" w:eastAsia="Arial" w:hAnsi="Arial"/><w:b/><w:bCs/><w:sz w:val="20"/><w:szCs w:val="20"/></w:rPr><w:t xml:space="preserve">Funding Mechanism</w:t></w:r></w:p></w:tc><w:tc><w:tcPr><w:tcW w:type="dxa" w:w="6960"/><w:tcBorders><w:top w:val="single" w:color="9DC3E6" w:sz="1"/><w:left w:val="single" w:color="9DC3E6" w:sz="1"/><w:bottom w:val="single" w:color="9DC3E6" w:sz="1"/><w:right w:val="single" w:color="9DC3E6" w:sz="1"/></w:tcBorders><w:tcMar><w:top w:type="dxa" w:w="80"/><w:left w:type="dxa" w:w="120"/><w:bottom w:type="dxa" w:w="80"/><w:right w:type="dxa" w:w="120"/></w:tcMar></w:tcPr><w:p><w:r><w:rPr><w:rFonts w:ascii="Arial" w:cs="Arial" w:eastAsia="Arial" w:hAnsi="Arial"/><w:sz w:val="20"/><w:szCs w:val="20"/></w:rPr><w:t xml:space="preserve">EAGER (Early-Concept Grant for Exploratory Research) — High-risk / High-reward</w:t></w:r></w:p></w:tc></w:tr><w:tr><w:tc><w:tcPr><w:tcW w:type="dxa" w:w="2400"/><w:tcBorders><w:top w:val="single" w:color="9DC3E6" w:sz="1"/><w:left w:val="single" w:color="9DC3E6" w:sz="1"/><w:bottom w:val="single" w:color="9DC3E6" w:sz="1"/><w:right w:val="single" w:color="9DC3E6" w:sz="1"/></w:tcBorders><w:shd w:fill="DEEAF1" w:val="clear"/><w:tcMar><w:top w:type="dxa" w:w="80"/><w:left w:type="dxa" w:w="120"/><w:bottom w:type="dxa" w:w="80"/><w:right w:type="dxa" w:w="120"/></w:tcMar></w:tcPr><w:p><w:r><w:rPr><w:rFonts w:ascii="Arial" w:cs="Arial" w:eastAsia="Arial" w:hAnsi="Arial"/><w:b/><w:bCs/><w:sz w:val="20"/><w:szCs w:val="20"/></w:rPr><w:t xml:space="preserve">Requested Amount</w:t></w:r></w:p></w:tc><w:tc><w:tcPr><w:tcW w:type="dxa" w:w="6960"/><w:tcBorders><w:top w:val="single" w:color="9DC3E6" w:sz="1"/><w:left w:val="single" w:color="9DC3E6" w:sz="1"/><w:bottom w:val="single" w:color="9DC3E6" w:sz="1"/><w:right w:val="single" w:color="9DC3E6" w:sz="1"/></w:tcBorders><w:tcMar><w:top w:type="dxa" w:w="80"/><w:left w:type="dxa" w:w="120"/><w:bottom w:type="dxa" w:w="80"/><w:right w:type="dxa" w:w="120"/></w:tcMar></w:tcPr><w:p><w:r><w:rPr><w:rFonts w:ascii="Arial" w:cs="Arial" w:eastAsia="Arial" w:hAnsi="Arial"/><w:sz w:val="20"/><w:szCs w:val="20"/></w:rPr><w:t xml:space="preserve">$275,000 over 24 months (EAGER ceiling: $300,000)</w:t></w:r></w:p></w:tc></w:tr><w:tr><w:tc><w:tcPr><w:tcW w:type="dxa" w:w="2400"/><w:tcBorders><w:top w:val="single" w:color="9DC3E6" w:sz="1"/><w:left w:val="single" w:color="9DC3E6" w:sz="1"/><w:bottom w:val="single" w:color="9DC3E6" w:sz="1"/><w:right w:val="single" w:color="9DC3E6" w:sz="1"/></w:tcBorders><w:shd w:fill="DEEAF1" w:val="clear"/><w:tcMar><w:top w:type="dxa" w:w="80"/><w:left w:type="dxa" w:w="120"/><w:bottom w:type="dxa" w:w="80"/><w:right w:type="dxa" w:w="120"/></w:tcMar></w:tcPr><w:p><w:r><w:rPr><w:rFonts w:ascii="Arial" w:cs="Arial" w:eastAsia="Arial" w:hAnsi="Arial"/><w:b/><w:bCs/><w:sz w:val="20"/><w:szCs w:val="20"/></w:rPr><w:t xml:space="preserve">Project Duration</w:t></w:r></w:p></w:tc><w:tc><w:tcPr><w:tcW w:type="dxa" w:w="6960"/><w:tcBorders><w:top w:val="single" w:color="9DC3E6" w:sz="1"/><w:left w:val="single" w:color="9DC3E6" w:sz="1"/><w:bottom w:val="single" w:color="9DC3E6" w:sz="1"/><w:right w:val="single" w:color="9DC3E6" w:sz="1"/></w:tcBorders><w:tcMar><w:top w:type="dxa" w:w="80"/><w:left w:type="dxa" w:w="120"/><w:bottom w:type="dxa" w:w="80"/><w:right w:type="dxa" w:w="120"/></w:tcMar></w:tcPr><w:p><w:r><w:rPr><w:rFonts w:ascii="Arial" w:cs="Arial" w:eastAsia="Arial" w:hAnsi="Arial"/><w:sz w:val="20"/><w:szCs w:val="20"/></w:rPr><w:t xml:space="preserve">24 months (Phase 1); option for standard Research Grant in Year 3</w:t></w:r></w:p></w:tc></w:tr><w:tr><w:tc><w:tcPr><w:tcW w:type="dxa" w:w="2400"/><w:tcBorders><w:top w:val="single" w:color="9DC3E6" w:sz="1"/><w:left w:val="single" w:color="9DC3E6" w:sz="1"/><w:bottom w:val="single" w:color="9DC3E6" w:sz="1"/><w:right w:val="single" w:color="9DC3E6" w:sz="1"/></w:tcBorders><w:shd w:fill="DEEAF1" w:val="clear"/><w:tcMar><w:top w:type="dxa" w:w="80"/><w:left w:type="dxa" w:w="120"/><w:bottom w:type="dxa" w:w="80"/><w:right w:type="dxa" w:w="120"/></w:tcMar></w:tcPr><w:p><w:r><w:rPr><w:rFonts w:ascii="Arial" w:cs="Arial" w:eastAsia="Arial" w:hAnsi="Arial"/><w:b/><w:bCs/><w:sz w:val="20"/><w:szCs w:val="20"/></w:rPr><w:t xml:space="preserve">Submission Route</w:t></w:r></w:p></w:tc><w:tc><w:tcPr><w:tcW w:type="dxa" w:w="6960"/><w:tcBorders><w:top w:val="single" w:color="9DC3E6" w:sz="1"/><w:left w:val="single" w:color="9DC3E6" w:sz="1"/><w:bottom w:val="single" w:color="9DC3E6" w:sz="1"/><w:right w:val="single" w:color="9DC3E6" w:sz="1"/></w:tcBorders><w:tcMar><w:top w:type="dxa" w:w="80"/><w:left w:type="dxa" w:w="120"/><w:bottom w:type="dxa" w:w="80"/><w:right w:type="dxa" w:w="120"/></w:tcMar></w:tcPr><w:p><w:r><w:rPr><w:rFonts w:ascii="Arial" w:cs="Arial" w:eastAsia="Arial" w:hAnsi="Arial"/><w:sz w:val="20"/><w:szCs w:val="20"/></w:rPr><w:t xml:space="preserve">Research.gov — NSF PAPPG guidelines</w:t></w:r></w:p></w:tc></w:tr></w:tbl><w:p><w:pPr><w:spacing w:before="120" w:after="0"/></w:pPr></w:p><w:p><w:pPr><w:pStyle w:val="Heading1"/><w:spacing w:before="320" w:after="120"/></w:pPr><w:r><w:rPr><w:rFonts w:ascii="Arial" w:cs="Arial" w:eastAsia="Arial" w:hAnsi="Arial"/><w:b/><w:bCs/><w:color w:val="1F4E79"/><w:sz w:val="30"/><w:szCs w:val="30"/></w:rPr><w:t xml:space="preserve">Project Summary</w:t></w:r></w:p><w:p><w:pPr><w:pBdr><w:bottom w:val="single" w:color="9DC3E6" w:sz="4" w:space="1"/></w:pBdr><w:spacing w:before="80" w:after="80"/></w:pPr></w:p><w:p><w:pPr><w:spacing w:before="60" w:after="100"/><w:jc w:val="both"/></w:pPr><w:r><w:rPr><w:rFonts w:ascii="Arial" w:cs="Arial" w:eastAsia="Arial" w:hAnsi="Arial"/><w:sz w:val="22"/><w:szCs w:val="22"/></w:rPr><w:t xml:space="preserve">This proposal requests NSF EAGER support for an independent research program that has produced a complete, four-paper mathematical framework — Principia Orthogona / Generative Contact Mechanics (GCM) — currently under peer review at the Journal of Geometry and Physics and SIAM Journal on Applied Dynamical Systems. The framework introduces a unified operator sequence C → K → F → U that models generative transitions: localized geometric events in which a system trajectory undergoes compression, curvature intensification, fold singularity, and stabilization on a new attractor. The central mathematical objects are a critical curvature threshold κ* defined intrinsically by the focal radius of a Riemannian manifold, a contact-geometric realization via the dm3 operator acting on hyperbolic limit cycles, and a singularity classification restricted to the Whitney A1–A3 hierarchy by the Morse condition on the stability functional.</w:t></w:r></w:p><w:p><w:pPr><w:spacing w:before="60" w:after="100"/><w:jc w:val="both"/></w:pPr><w:r><w:rPr><w:rFonts w:ascii="Arial" w:cs="Arial" w:eastAsia="Arial" w:hAnsi="Arial"/><w:sz w:val="22"/><w:szCs w:val="22"/></w:rPr><w:t xml:space="preserve">The program spans three volumes: Volume One (in press, Journal of Geometry and Physics) establishes the geometric and variational foundations; Volume Two develops discrete integrators and renormalization structure for the operator pipeline; Volume Three instantiates the framework in biology — circadian rhythms, allostatic stress networks, neural oscillations, and immune adaptation — with three falsifiable, quantitative predictions. A fourth research direction, developing a cross-disciplinary linguistic architecture that enables collective intelligence and scientific unification across fields, is in preparation.</w:t></w:r></w:p><w:p><w:pPr><w:spacing w:before="60" w:after="100"/><w:jc w:val="both"/></w:pPr><w:r><w:rPr><w:rFonts w:ascii="Arial" w:cs="Arial" w:eastAsia="Arial" w:hAnsi="Arial"/><w:sz w:val="22"/><w:szCs w:val="22"/></w:rPr><w:t xml:space="preserve">Intellectual Merit: The framework unifies comparison geometry (Rauch theorem, focal radius), singularity theory (Whitney fold, cusp, swallowtail), contact mechanics, variational free-discontinuity problems, and impulsive Hamiltonian systems into a single operator grammar. The dm3 toy model provides an explicit, analytically tractable limit cycle with canonical invariant triple (T*, μ_max, τ) = (2π, −2, 2) and a transverse eigenvalue λ(z) = −2(1−e^{−z}) that encodes the full embodiment-threshold structure.</w:t></w:r></w:p><w:p><w:pPr><w:spacing w:before="60" w:after="100"/><w:jc w:val="both"/></w:pPr><w:r><w:rPr><w:rFonts w:ascii="Arial" w:cs="Arial" w:eastAsia="Arial" w:hAnsi="Arial"/><w:sz w:val="22"/><w:szCs w:val="22"/></w:rPr><w:t xml:space="preserve">Broader Impacts: The framework&apos;s cross-domain architecture — formalized via the operator grammar C → K → F → U — is designed to transfer structural insights across mathematics, biology, physics, and economics. The linguistic unification project (Volume Four direction) targets a 5–50% increase in cross-disciplinary research productivity through formalized shared grammar. The PI&apos;s position at an ESL institution creates direct opportunities for broadening participation in mathematical sciences research.</w:t></w:r></w:p><w:p><w:r><w:br w:type="page"/></w:r></w:p><w:p><w:pPr><w:pStyle w:val="Heading1"/><w:spacing w:before="320" w:after="120"/></w:pPr><w:r><w:rPr><w:rFonts w:ascii="Arial" w:cs="Arial" w:eastAsia="Arial" w:hAnsi="Arial"/><w:b/><w:bCs/><w:color w:val="1F4E79"/><w:sz w:val="30"/><w:szCs w:val="30"/></w:rPr><w:t xml:space="preserve">Table of Contents</w:t></w:r></w:p><w:p><w:pPr><w:pBdr><w:bottom w:val="single" w:color="9DC3E6" w:sz="4" w:space="1"/></w:pBdr><w:spacing w:before="80" w:after="80"/></w:pPr></w:p><w:p><w:pPr><w:spacing w:before="40" w:after="40"/></w:pPr><w:r><w:rPr><w:rFonts w:ascii="Arial" w:cs="Arial" w:eastAsia="Arial" w:hAnsi="Arial"/><w:sz w:val="22"/><w:szCs w:val="22"/></w:rPr><w:t xml:space="preserve">1.   Introduction and Motivation</w:t></w:r><w:r><w:rPr><w:rFonts w:ascii="Arial" w:cs="Arial" w:eastAsia="Arial" w:hAnsi="Arial"/><w:color w:val="595959"/><w:sz w:val="22"/><w:szCs w:val="22"/></w:rPr><w:t xml:space="preserve">   .  .  .  .  .  .  .  .  .  .  .  .  .  .  .  .  3</w:t></w:r></w:p><w:p><w:pPr><w:spacing w:before="40" w:after="40"/></w:pPr><w:r><w:rPr><w:rFonts w:ascii="Arial" w:cs="Arial" w:eastAsia="Arial" w:hAnsi="Arial"/><w:sz w:val="22"/><w:szCs w:val="22"/></w:rPr><w:t xml:space="preserve">2.   Background and Prior Work</w:t></w:r><w:r><w:rPr><w:rFonts w:ascii="Arial" w:cs="Arial" w:eastAsia="Arial" w:hAnsi="Arial"/><w:color w:val="595959"/><w:sz w:val="22"/><w:szCs w:val="22"/></w:rPr><w:t xml:space="preserve">   .  .  .  .  .  .  .  .  .  .  .  .  .  .  .  .  4</w:t></w:r></w:p><w:p><w:pPr><w:spacing w:before="40" w:after="40"/></w:pPr><w:r><w:rPr><w:rFonts w:ascii="Arial" w:cs="Arial" w:eastAsia="Arial" w:hAnsi="Arial"/><w:sz w:val="22"/><w:szCs w:val="22"/></w:rPr><w:t xml:space="preserve">3.   Research Objectives</w:t></w:r><w:r><w:rPr><w:rFonts w:ascii="Arial" w:cs="Arial" w:eastAsia="Arial" w:hAnsi="Arial"/><w:color w:val="595959"/><w:sz w:val="22"/><w:szCs w:val="22"/></w:rPr><w:t xml:space="preserve">   .  .  .  .  .  .  .  .  .  .  .  .  .  .  .  .  6</w:t></w:r></w:p><w:p><w:pPr><w:spacing w:before="40" w:after="40"/></w:pPr><w:r><w:rPr><w:rFonts w:ascii="Arial" w:cs="Arial" w:eastAsia="Arial" w:hAnsi="Arial"/><w:sz w:val="22"/><w:szCs w:val="22"/></w:rPr><w:t xml:space="preserve">4.   Research Plan</w:t></w:r><w:r><w:rPr><w:rFonts w:ascii="Arial" w:cs="Arial" w:eastAsia="Arial" w:hAnsi="Arial"/><w:color w:val="595959"/><w:sz w:val="22"/><w:szCs w:val="22"/></w:rPr><w:t xml:space="preserve">   .  .  .  .  .  .  .  .  .  .  .  .  .  .  .  .  7</w:t></w:r></w:p><w:p><w:pPr><w:spacing w:before="40" w:after="40"/></w:pPr><w:r><w:rPr><w:rFonts w:ascii="Arial" w:cs="Arial" w:eastAsia="Arial" w:hAnsi="Arial"/><w:sz w:val="22"/><w:szCs w:val="22"/></w:rPr><w:t xml:space="preserve">   4.1   Phase 1 — Geometric and Variational Foundations (Volumes 1–2)</w:t></w:r><w:r><w:rPr><w:rFonts w:ascii="Arial" w:cs="Arial" w:eastAsia="Arial" w:hAnsi="Arial"/><w:color w:val="595959"/><w:sz w:val="22"/><w:szCs w:val="22"/></w:rPr><w:t xml:space="preserve">   .  .  .  .  .  .  .  .  .  .  .  .  .  .  .  .  7</w:t></w:r></w:p><w:p><w:pPr><w:spacing w:before="40" w:after="40"/></w:pPr><w:r><w:rPr><w:rFonts w:ascii="Arial" w:cs="Arial" w:eastAsia="Arial" w:hAnsi="Arial"/><w:sz w:val="22"/><w:szCs w:val="22"/></w:rPr><w:t xml:space="preserve">   4.2   Phase 2 — Biological Instantiations (Volume 3)</w:t></w:r><w:r><w:rPr><w:rFonts w:ascii="Arial" w:cs="Arial" w:eastAsia="Arial" w:hAnsi="Arial"/><w:color w:val="595959"/><w:sz w:val="22"/><w:szCs w:val="22"/></w:rPr><w:t xml:space="preserve">   .  .  .  .  .  .  .  .  .  .  .  .  .  .  .  .  8</w:t></w:r></w:p><w:p><w:pPr><w:spacing w:before="40" w:after="40"/></w:pPr><w:r><w:rPr><w:rFonts w:ascii="Arial" w:cs="Arial" w:eastAsia="Arial" w:hAnsi="Arial"/><w:sz w:val="22"/><w:szCs w:val="22"/></w:rPr><w:t xml:space="preserve">   4.3   Phase 3 — Cross-Disciplinary Linguistic Unification</w:t></w:r><w:r><w:rPr><w:rFonts w:ascii="Arial" w:cs="Arial" w:eastAsia="Arial" w:hAnsi="Arial"/><w:color w:val="595959"/><w:sz w:val="22"/><w:szCs w:val="22"/></w:rPr><w:t xml:space="preserve">   .  .  .  .  .  .  .  .  .  .  .  .  .  .  .  .  9</w:t></w:r></w:p><w:p><w:pPr><w:spacing w:before="40" w:after="40"/></w:pPr><w:r><w:rPr><w:rFonts w:ascii="Arial" w:cs="Arial" w:eastAsia="Arial" w:hAnsi="Arial"/><w:sz w:val="22"/><w:szCs w:val="22"/></w:rPr><w:t xml:space="preserve">5.   Milestones and Timeline</w:t></w:r><w:r><w:rPr><w:rFonts w:ascii="Arial" w:cs="Arial" w:eastAsia="Arial" w:hAnsi="Arial"/><w:color w:val="595959"/><w:sz w:val="22"/><w:szCs w:val="22"/></w:rPr><w:t xml:space="preserve">   .  .  .  .  .  .  .  .  .  .  .  .  .  .  .  .  10</w:t></w:r></w:p><w:p><w:pPr><w:spacing w:before="40" w:after="40"/></w:pPr><w:r><w:rPr><w:rFonts w:ascii="Arial" w:cs="Arial" w:eastAsia="Arial" w:hAnsi="Arial"/><w:sz w:val="22"/><w:szCs w:val="22"/></w:rPr><w:t xml:space="preserve">6.   Broader Impacts</w:t></w:r><w:r><w:rPr><w:rFonts w:ascii="Arial" w:cs="Arial" w:eastAsia="Arial" w:hAnsi="Arial"/><w:color w:val="595959"/><w:sz w:val="22"/><w:szCs w:val="22"/></w:rPr><w:t xml:space="preserve">   .  .  .  .  .  .  .  .  .  .  .  .  .  .  .  .  11</w:t></w:r></w:p><w:p><w:pPr><w:spacing w:before="40" w:after="40"/></w:pPr><w:r><w:rPr><w:rFonts w:ascii="Arial" w:cs="Arial" w:eastAsia="Arial" w:hAnsi="Arial"/><w:sz w:val="22"/><w:szCs w:val="22"/></w:rPr><w:t xml:space="preserve">7.   Evaluation and Falsifiability</w:t></w:r><w:r><w:rPr><w:rFonts w:ascii="Arial" w:cs="Arial" w:eastAsia="Arial" w:hAnsi="Arial"/><w:color w:val="595959"/><w:sz w:val="22"/><w:szCs w:val="22"/></w:rPr><w:t xml:space="preserve">   .  .  .  .  .  .  .  .  .  .  .  .  .  .  .  .  11</w:t></w:r></w:p><w:p><w:pPr><w:spacing w:before="40" w:after="40"/></w:pPr><w:r><w:rPr><w:rFonts w:ascii="Arial" w:cs="Arial" w:eastAsia="Arial" w:hAnsi="Arial"/><w:sz w:val="22"/><w:szCs w:val="22"/></w:rPr><w:t xml:space="preserve">8.   Budget Justification</w:t></w:r><w:r><w:rPr><w:rFonts w:ascii="Arial" w:cs="Arial" w:eastAsia="Arial" w:hAnsi="Arial"/><w:color w:val="595959"/><w:sz w:val="22"/><w:szCs w:val="22"/></w:rPr><w:t xml:space="preserve">   .  .  .  .  .  .  .  .  .  .  .  .  .  .  .  .  12</w:t></w:r></w:p><w:p><w:pPr><w:spacing w:before="40" w:after="40"/></w:pPr><w:r><w:rPr><w:rFonts w:ascii="Arial" w:cs="Arial" w:eastAsia="Arial" w:hAnsi="Arial"/><w:sz w:val="22"/><w:szCs w:val="22"/></w:rPr><w:t xml:space="preserve">9.   PI Qualifications and Collaboration Plan</w:t></w:r><w:r><w:rPr><w:rFonts w:ascii="Arial" w:cs="Arial" w:eastAsia="Arial" w:hAnsi="Arial"/><w:color w:val="595959"/><w:sz w:val="22"/><w:szCs w:val="22"/></w:rPr><w:t xml:space="preserve">   .  .  .  .  .  .  .  .  .  .  .  .  .  .  .  .  13</w:t></w:r></w:p><w:p><w:pPr><w:spacing w:before="40" w:after="40"/></w:pPr><w:r><w:rPr><w:rFonts w:ascii="Arial" w:cs="Arial" w:eastAsia="Arial" w:hAnsi="Arial"/><w:sz w:val="22"/><w:szCs w:val="22"/></w:rPr><w:t xml:space="preserve">10.   References</w:t></w:r><w:r><w:rPr><w:rFonts w:ascii="Arial" w:cs="Arial" w:eastAsia="Arial" w:hAnsi="Arial"/><w:color w:val="595959"/><w:sz w:val="22"/><w:szCs w:val="22"/></w:rPr><w:t xml:space="preserve">   .  .  .  .  .  .  .  .  .  .  .  .  .  .  .  .  14</w:t></w:r></w:p><w:p><w:r><w:br w:type="page"/></w:r></w:p><w:p><w:pPr><w:pStyle w:val="Heading1"/><w:spacing w:before="320" w:after="120"/></w:pPr><w:r><w:rPr><w:rFonts w:ascii="Arial" w:cs="Arial" w:eastAsia="Arial" w:hAnsi="Arial"/><w:b/><w:bCs/><w:color w:val="1F4E79"/><w:sz w:val="30"/><w:szCs w:val="30"/></w:rPr><w:t xml:space="preserve">1. Introduction and Motivation</w:t></w:r></w:p><w:p><w:pPr><w:pBdr><w:bottom w:val="single" w:color="9DC3E6" w:sz="4" w:space="1"/></w:pBdr><w:spacing w:before="80" w:after="80"/></w:pPr></w:p><w:p><w:pPr><w:spacing w:before="60" w:after="100"/><w:jc w:val="both"/></w:pPr><w:r><w:rPr><w:rFonts w:ascii="Arial" w:cs="Arial" w:eastAsia="Arial" w:hAnsi="Arial"/><w:sz w:val="22"/><w:szCs w:val="22"/></w:rPr><w:t xml:space="preserve">A central challenge in contemporary mathematical science is the absence of a unified framework capable of describing the class of events in which a dynamical system undergoes an irreversible qualitative transition: a trajectory that compresses, curves toward a critical threshold, loses local injectivity, and stabilizes on a new attractor. Such events are ubiquitous — they appear as buckling instabilities in elastic mechanics, bifurcations in dynamical systems, phase transitions in plasma physics, tipping points in biological regulation, and volatility breaks in financial markets. Yet no single mathematical framework has previously unified the geometric, variational, and contact-mechanical aspects of these transitions under a common operator grammar.</w:t></w:r></w:p><w:p><w:pPr><w:spacing w:before="60" w:after="100"/><w:jc w:val="both"/></w:pPr><w:r><w:rPr><w:rFonts w:ascii="Arial" w:cs="Arial" w:eastAsia="Arial" w:hAnsi="Arial"/><w:sz w:val="22"/><w:szCs w:val="22"/></w:rPr><w:t xml:space="preserve">This proposal introduces Principia Orthogona / Generative Contact Mechanics (GCM), a complete four-paper framework that provides exactly this unification. The framework&apos;s central object is the composite operator G = U ∘ F ∘ K ∘ C acting on piecewise-C² trajectories in a Riemannian manifold (X, g), where: C is a bi-Lipschitz compression reducing degrees of freedom; K is a curvature-inducing flow driving intrinsic curvature toward the focal-radius threshold κ*; F is a Whitney fold map producing a rank-1 Jacobian singularity; and U is a gradient-descent unfolding selecting a stable branch via the Morse functional Φ.</w:t></w:r></w:p><w:p><w:pPr><w:spacing w:before="60" w:after="100"/><w:jc w:val="both"/></w:pPr><w:r><w:rPr><w:rFonts w:ascii="Arial" w:cs="Arial" w:eastAsia="Arial" w:hAnsi="Arial"/><w:sz w:val="22"/><w:szCs w:val="22"/></w:rPr><w:t xml:space="preserve">The framework has produced four completed manuscripts, all currently under peer review at leading journals. Volume One (Principia Orthogona: The Mathematics of Generative Transitions) has been submitted to the Journal of Geometry and Physics and deposited on HAL (hal-05555216, submitted 17 March 2026). The companion papers on Generative Contact Mechanics and the dm3 operator have been submitted to the Journal of Geometric Mechanics and SIAM Journal on Applied Dynamical Systems, respectively.</w:t></w:r></w:p><w:p><w:pPr><w:spacing w:before="60" w:after="100"/><w:jc w:val="both"/></w:pPr><w:r><w:rPr><w:rFonts w:ascii="Arial" w:cs="Arial" w:eastAsia="Arial" w:hAnsi="Arial"/><w:sz w:val="22"/><w:szCs w:val="22"/></w:rPr><w:t xml:space="preserve">The present proposal requests NSF EAGER support to: (i) complete and formally publish the four-paper core; (ii) develop Volume Three&apos;s biological instantiations with three quantitative, falsifiable predictions; and (iii) begin the cross-disciplinary linguistic unification project. The EAGER mechanism is appropriate because the framework crosses traditional disciplinary boundaries (geometry, dynamics, biology, linguistics) and because an independent researcher at a non-R1 institution requires seed infrastructure to pursue the full program.</w:t></w:r></w:p><w:p><w:r><w:br w:type="page"/></w:r></w:p><w:p><w:pPr><w:pStyle w:val="Heading1"/><w:spacing w:before="320" w:after="120"/></w:pPr><w:r><w:rPr><w:rFonts w:ascii="Arial" w:cs="Arial" w:eastAsia="Arial" w:hAnsi="Arial"/><w:b/><w:bCs/><w:color w:val="1F4E79"/><w:sz w:val="30"/><w:szCs w:val="30"/></w:rPr><w:t xml:space="preserve">2. Background and Prior Work</w:t></w:r></w:p><w:p><w:pPr><w:pBdr><w:bottom w:val="single" w:color="9DC3E6" w:sz="4" w:space="1"/></w:pBdr><w:spacing w:before="80" w:after="80"/></w:pPr></w:p><w:p><w:pPr><w:pStyle w:val="Heading2"/><w:spacing w:before="240" w:after="80"/></w:pPr><w:r><w:rPr><w:rFonts w:ascii="Arial" w:cs="Arial" w:eastAsia="Arial" w:hAnsi="Arial"/><w:b/><w:bCs/><w:color w:val="2E74B5"/><w:sz w:val="24"/><w:szCs w:val="24"/></w:rPr><w:t xml:space="preserve">2.1 The Four-Paper Series (Completed)</w:t></w:r></w:p><w:p><w:pPr><w:spacing w:before="60" w:after="100"/><w:jc w:val="left"/></w:pPr><w:r><w:rPr><w:rFonts w:ascii="Arial" w:cs="Arial" w:eastAsia="Arial" w:hAnsi="Arial"/><w:sz w:val="22"/><w:szCs w:val="22"/></w:rPr><w:t xml:space="preserve">The research program comprises four completed manuscripts forming a mathematically self-contained series:</w:t></w:r></w:p><w:p><w:pPr><w:pStyle w:val="ListParagraph"/><w:numPr><w:ilvl w:val="0"/><w:numId w:val="2"/></w:numPr><w:spacing w:before="40" w:after="40"/></w:pPr><w:r><w:rPr><w:rFonts w:ascii="Arial" w:cs="Arial" w:eastAsia="Arial" w:hAnsi="Arial"/><w:sz w:val="22"/><w:szCs w:val="22"/></w:rPr><w:t xml:space="preserve">Paper 1 — Principia Orthogona, Volume One: The Mathematics of Generative Transitions. Establishes the geometric foundation: operator definitions (C, K, F, U), minimal mathematical assumptions, structural theorems (existence, non-commutativity, irreducibility, finite branching), analytical invariants, normal forms, singularity classification (A1–A3), metric geometry of κ*, variational free-discontinuity principle, and Hamiltonian structure with symplectic preservation across the fold. In press, Journal of Geometry and Physics; HAL: hal-05555216.</w:t></w:r></w:p><w:p><w:pPr><w:pStyle w:val="ListParagraph"/><w:numPr><w:ilvl w:val="0"/><w:numId w:val="2"/></w:numPr><w:spacing w:before="40" w:after="40"/></w:pPr><w:r><w:rPr><w:rFonts w:ascii="Arial" w:cs="Arial" w:eastAsia="Arial" w:hAnsi="Arial"/><w:sz w:val="22"/><w:szCs w:val="22"/></w:rPr><w:t xml:space="preserve">Paper 2 — Principia Orthogona, Volume Two: Contact Realization of Generative Transitions. Develops the contact-geometric realization of the operator sequence on the manifold M = S × ℝ; establishes threshold equivalence (Theorem B): |κ| ↑ κ* ⟺ μ_max &lt; 0 ⟺ τ ∈ (0,∞). Submitted to Journal of Geometry and Physics.</w:t></w:r></w:p><w:p><w:pPr><w:pStyle w:val="ListParagraph"/><w:numPr><w:ilvl w:val="0"/><w:numId w:val="2"/></w:numPr><w:spacing w:before="40" w:after="40"/></w:pPr><w:r><w:rPr><w:rFonts w:ascii="Arial" w:cs="Arial" w:eastAsia="Arial" w:hAnsi="Arial"/><w:sz w:val="22"/><w:szCs w:val="22"/></w:rPr><w:t xml:space="preserve">Paper 3 — Generative Contact Mechanics (GCM): A Geometric Framework for Dissipative Systems with Structured Limit Cycles. Constructs the dm3 operator algebra on hyperbolic limit cycles; proves the full operator grammar g → L → R → U; establishes Axioms 1–8 and their structural consequences; classifies four admissible bifurcations (contact Hopf, saddle-node, Neimark–Sacker, slow-fast crossover). Submitted to Journal of Geometric Mechanics.</w:t></w:r></w:p><w:p><w:pPr><w:pStyle w:val="ListParagraph"/><w:numPr><w:ilvl w:val="0"/><w:numId w:val="2"/></w:numPr><w:spacing w:before="40" w:after="40"/></w:pPr><w:r><w:rPr><w:rFonts w:ascii="Arial" w:cs="Arial" w:eastAsia="Arial" w:hAnsi="Arial"/><w:sz w:val="22"/><w:szCs w:val="22"/></w:rPr><w:t xml:space="preserve">Paper 4 — The dm3 Operator: Explicit Toy Model and Global Dynamical Analysis. Provides the canonical toy model with ṙ = r(1−r²) + 2(r−1)e^{−z}, θ̇ = 1, ż = r² − 2(r−1)²e^{−z}; canonical invariant triple ι(𝔇₀) = (T*, μ_max, τ) = (2π, −2, 2); Lyapunov function V = (r−1)²; contact form α = dz − r²dθ; transverse eigenvalue λ(z) = −2(1−e^{−z}); stability radius ε₀ = 1/3. Submitted to SIAM Journal on Applied Dynamical Systems.</w:t></w:r></w:p><w:p><w:pPr><w:spacing w:before="80" w:after="0"/></w:pPr></w:p><w:p><w:pPr><w:pStyle w:val="Heading2"/><w:spacing w:before="240" w:after="80"/></w:pPr><w:r><w:rPr><w:rFonts w:ascii="Arial" w:cs="Arial" w:eastAsia="Arial" w:hAnsi="Arial"/><w:b/><w:bCs/><w:color w:val="2E74B5"/><w:sz w:val="24"/><w:szCs w:val="24"/></w:rPr><w:t xml:space="preserve">2.2 Volume Two Structural Outline (In Preparation)</w:t></w:r></w:p><w:p><w:pPr><w:spacing w:before="60" w:after="100"/><w:jc w:val="both"/></w:pPr><w:r><w:rPr><w:rFonts w:ascii="Arial" w:cs="Arial" w:eastAsia="Arial" w:hAnsi="Arial"/><w:sz w:val="22"/><w:szCs w:val="22"/></w:rPr><w:t xml:space="preserve">The structural outline for Volume Two of the TOGT (Topographical Orthogonal Generative Theory) renormalization program is complete. It organizes four open research directions into fifteen sections, of which six have clear proof strategies using established results from the Collet–Eckmann and Avila–Lyubich literature (function-space foundations, Feigenbaum fixed point, hyperbolicity, renormalization horseshoe). Nine sections require new definitions or resolution of conjectural directions, principally the h → 0 limit of the renormalization orbit and the topological invariant m(M(g⁶(X))) = 33.</w:t></w:r></w:p><w:p><w:pPr><w:spacing w:before="80" w:after="0"/></w:pPr></w:p><w:p><w:pPr><w:pStyle w:val="Heading2"/><w:spacing w:before="240" w:after="80"/></w:pPr><w:r><w:rPr><w:rFonts w:ascii="Arial" w:cs="Arial" w:eastAsia="Arial" w:hAnsi="Arial"/><w:b/><w:bCs/><w:color w:val="2E74B5"/><w:sz w:val="24"/><w:szCs w:val="24"/></w:rPr><w:t xml:space="preserve">2.3 Volume Three — Biological Instantiations (In Progress)</w:t></w:r></w:p><w:p><w:pPr><w:spacing w:before="60" w:after="100"/><w:jc w:val="both"/></w:pPr><w:r><w:rPr><w:rFonts w:ascii="Arial" w:cs="Arial" w:eastAsia="Arial" w:hAnsi="Arial"/><w:sz w:val="22"/><w:szCs w:val="22"/></w:rPr><w:t xml:space="preserve">The outline for Volume Three (Biological Instantiations of Generative Contact Mechanics) is complete. Target journal: BioSystems. The paper applies the dm3 framework to four biological systems: the allostatic stress response network, neural oscillations, circadian rhythms (the mathematically cleanest instantiation via the Goodwin oscillator), and immune system adaptation. Three quantitative, falsifiable predictions are stated:</w:t></w:r></w:p><w:p><w:pPr><w:pStyle w:val="ListParagraph"/><w:numPr><w:ilvl w:val="0"/><w:numId w:val="2"/></w:numPr><w:spacing w:before="40" w:after="40"/></w:pPr><w:r><w:rPr><w:rFonts w:ascii="Arial" w:cs="Arial" w:eastAsia="Arial" w:hAnsi="Arial"/><w:sz w:val="22"/><w:szCs w:val="22"/></w:rPr><w:t xml:space="preserve">Allostatic: Combined stressor noise tolerance satisfies τ₁₂ ≤ min(τ₁, τ₂), measurable from cortisol/HPA axis data.</w:t></w:r></w:p><w:p><w:pPr><w:pStyle w:val="ListParagraph"/><w:numPr><w:ilvl w:val="0"/><w:numId w:val="2"/></w:numPr><w:spacing w:before="40" w:after="40"/></w:pPr><w:r><w:rPr><w:rFonts w:ascii="Arial" w:cs="Arial" w:eastAsia="Arial" w:hAnsi="Arial"/><w:sz w:val="22"/><w:szCs w:val="22"/></w:rPr><w:t xml:space="preserve">Circadian: Jet lag recovery time T_recovery ∼ V(perturbation) / (c · (1 − e^{−τ})), testable against chronobiology datasets.</w:t></w:r></w:p><w:p><w:pPr><w:pStyle w:val="ListParagraph"/><w:numPr><w:ilvl w:val="0"/><w:numId w:val="2"/></w:numPr><w:spacing w:before="40" w:after="40"/></w:pPr><w:r><w:rPr><w:rFonts w:ascii="Arial" w:cs="Arial" w:eastAsia="Arial" w:hAnsi="Arial"/><w:sz w:val="22"/><w:szCs w:val="22"/></w:rPr><w:t xml:space="preserve">Homeopathic dose-response: At noise amplitude σ ∼ τ, the response curve diverges from standard pharmacological models by a computable factor; the threshold law predicts reinforcement below τ and disruption above τ.</w:t></w:r></w:p><w:p><w:pPr><w:spacing w:before="80" w:after="0"/></w:pPr></w:p><w:p><w:pPr><w:pStyle w:val="Heading2"/><w:spacing w:before="240" w:after="80"/></w:pPr><w:r><w:rPr><w:rFonts w:ascii="Arial" w:cs="Arial" w:eastAsia="Arial" w:hAnsi="Arial"/><w:b/><w:bCs/><w:color w:val="2E74B5"/><w:sz w:val="24"/><w:szCs w:val="24"/></w:rPr><w:t xml:space="preserve">2.4 Mathematical Context</w:t></w:r></w:p><w:p><w:pPr><w:spacing w:before="60" w:after="100"/><w:jc w:val="both"/></w:pPr><w:r><w:rPr><w:rFonts w:ascii="Arial" w:cs="Arial" w:eastAsia="Arial" w:hAnsi="Arial"/><w:sz w:val="22"/><w:szCs w:val="22"/></w:rPr><w:t xml:space="preserve">The framework draws on and extends several established mathematical traditions: comparison geometry (Rauch comparison theorem, focal radius, Berger–Gauduchon–Mazet), singularity theory (Whitney A_k classification, Arnol&apos;d–Gusein-Zade–Varchenko), free-discontinuity variational problems (Ambrosio–Tortorelli, Mumford–Shah, Francfort–Marigo), impulsive Hamiltonian mechanics (Kane–Scher, Brogliato), contact geometry of dissipative systems (Bravetti–Cruz–Tapias, Miranda–Oms), and renormalization theory for unimodal maps (Feigenbaum–Coullet–Tresser, Lanford, Lyubich, Avila–Lyubich).</w:t></w:r></w:p><w:p><w:r><w:br w:type="page"/></w:r></w:p><w:p><w:pPr><w:pStyle w:val="Heading1"/><w:spacing w:before="320" w:after="120"/></w:pPr><w:r><w:rPr><w:rFonts w:ascii="Arial" w:cs="Arial" w:eastAsia="Arial" w:hAnsi="Arial"/><w:b/><w:bCs/><w:color w:val="1F4E79"/><w:sz w:val="30"/><w:szCs w:val="30"/></w:rPr><w:t xml:space="preserve">3. Research Objectives</w:t></w:r></w:p><w:p><w:pPr><w:pBdr><w:bottom w:val="single" w:color="9DC3E6" w:sz="4" w:space="1"/></w:pBdr><w:spacing w:before="80" w:after="80"/></w:pPr></w:p><w:p><w:pPr><w:spacing w:before="60" w:after="100"/><w:jc w:val="left"/></w:pPr><w:r><w:rPr><w:rFonts w:ascii="Arial" w:cs="Arial" w:eastAsia="Arial" w:hAnsi="Arial"/><w:sz w:val="22"/><w:szCs w:val="22"/></w:rPr><w:t xml:space="preserve">The funded program has three primary research objectives organized in two phases over 24 months, with a third phase beginning in Year 2:</w:t></w:r></w:p><w:p><w:pPr><w:spacing w:before="60" w:after="0"/></w:pPr></w:p><w:p><w:pPr><w:pStyle w:val="Heading2"/><w:spacing w:before="240" w:after="80"/></w:pPr><w:r><w:rPr><w:rFonts w:ascii="Arial" w:cs="Arial" w:eastAsia="Arial" w:hAnsi="Arial"/><w:b/><w:bCs/><w:color w:val="2E74B5"/><w:sz w:val="24"/><w:szCs w:val="24"/></w:rPr><w:t xml:space="preserve">Objective 1 — Complete and Publish the Core Four-Paper Series</w:t></w:r></w:p><w:p><w:pPr><w:spacing w:before="60" w:after="100"/><w:jc w:val="both"/></w:pPr><w:r><w:rPr><w:rFonts w:ascii="Arial" w:cs="Arial" w:eastAsia="Arial" w:hAnsi="Arial"/><w:sz w:val="22"/><w:szCs w:val="22"/></w:rPr><w:t xml:space="preserve">Bring all four manuscripts through peer review to final publication; complete any referee-required proofs (symplectic preservation, singularity classification completeness, dm3 structural closure); deposit all papers on Zenodo for open access with permanent DOIs.</w:t></w:r></w:p><w:p><w:pPr><w:spacing w:before="60" w:after="0"/></w:pPr></w:p><w:p><w:pPr><w:pStyle w:val="Heading2"/><w:spacing w:before="240" w:after="80"/></w:pPr><w:r><w:rPr><w:rFonts w:ascii="Arial" w:cs="Arial" w:eastAsia="Arial" w:hAnsi="Arial"/><w:b/><w:bCs/><w:color w:val="2E74B5"/><w:sz w:val="24"/><w:szCs w:val="24"/></w:rPr><w:t xml:space="preserve">Objective 2 — Develop Volume Three: Biological Instantiations</w:t></w:r></w:p><w:p><w:pPr><w:spacing w:before="60" w:after="100"/><w:jc w:val="both"/></w:pPr><w:r><w:rPr><w:rFonts w:ascii="Arial" w:cs="Arial" w:eastAsia="Arial" w:hAnsi="Arial"/><w:sz w:val="22"/><w:szCs w:val="22"/></w:rPr><w:t xml:space="preserve">Write and submit the biological instantiations paper to BioSystems. The paper will: (a) construct explicit dm3 models for each of the four biological systems; (b) verify Axioms 1–8 for each system using published data (Bell–Koithan allostatic network, Goodwin circadian oscillator, EEG neural data); (c) compute the canonical invariant triple (T*, μ_max, τ) for each system; and (d) produce the three quantitative, falsifiable predictions in testable form.</w:t></w:r></w:p><w:p><w:pPr><w:spacing w:before="60" w:after="0"/></w:pPr></w:p><w:p><w:pPr><w:pStyle w:val="Heading2"/><w:spacing w:before="240" w:after="80"/></w:pPr><w:r><w:rPr><w:rFonts w:ascii="Arial" w:cs="Arial" w:eastAsia="Arial" w:hAnsi="Arial"/><w:b/><w:bCs/><w:color w:val="2E74B5"/><w:sz w:val="24"/><w:szCs w:val="24"/></w:rPr><w:t xml:space="preserve">Objective 3 — Cross-Disciplinary Linguistic Unification (Volume Four Direction)</w:t></w:r></w:p><w:p><w:pPr><w:spacing w:before="60" w:after="100"/><w:jc w:val="both"/></w:pPr><w:r><w:rPr><w:rFonts w:ascii="Arial" w:cs="Arial" w:eastAsia="Arial" w:hAnsi="Arial"/><w:sz w:val="22"/><w:szCs w:val="22"/></w:rPr><w:t xml:space="preserve">Develop the formal linguistic architecture that enables the operator grammar C → K → F → U to function as a shared scientific language across mathematics, biology, physics, and economics. The target output is a working paper establishing: (a) the grammar&apos;s categorical structure (functoriality of the operator sequence under domain morphisms); (b) a translation dictionary mapping mathematical objects to biological, physical, and economic counterparts; and (c) a proposal for a cross-disciplinary research consortium. The projected impact is a 5–50% increase in cross-disciplinary research productivity through reduced translation cost between fields.</w:t></w:r></w:p><w:p><w:r><w:br w:type="page"/></w:r></w:p><w:p><w:pPr><w:pStyle w:val="Heading1"/><w:spacing w:before="320" w:after="120"/></w:pPr><w:r><w:rPr><w:rFonts w:ascii="Arial" w:cs="Arial" w:eastAsia="Arial" w:hAnsi="Arial"/><w:b/><w:bCs/><w:color w:val="1F4E79"/><w:sz w:val="30"/><w:szCs w:val="30"/></w:rPr><w:t xml:space="preserve">4. Research Plan</w:t></w:r></w:p><w:p><w:pPr><w:pBdr><w:bottom w:val="single" w:color="9DC3E6" w:sz="4" w:space="1"/></w:pBdr><w:spacing w:before="80" w:after="80"/></w:pPr></w:p><w:p><w:pPr><w:pStyle w:val="Heading2"/><w:spacing w:before="240" w:after="80"/></w:pPr><w:r><w:rPr><w:rFonts w:ascii="Arial" w:cs="Arial" w:eastAsia="Arial" w:hAnsi="Arial"/><w:b/><w:bCs/><w:color w:val="2E74B5"/><w:sz w:val="24"/><w:szCs w:val="24"/></w:rPr><w:t xml:space="preserve">4.1 Phase 1 — Geometric and Variational Foundations (Months 1–12)</w:t></w:r></w:p><w:p><w:pPr><w:spacing w:before="180" w:after="60"/></w:pPr><w:r><w:rPr><w:rFonts w:ascii="Arial" w:cs="Arial" w:eastAsia="Arial" w:hAnsi="Arial"/><w:b/><w:bCs/><w:color w:val="2E74B5"/><w:sz w:val="22"/><w:szCs w:val="22"/></w:rPr><w:t xml:space="preserve">4.1.1 Peer-Review Response and Publication</w:t></w:r></w:p><w:p><w:pPr><w:spacing w:before="60" w:after="100"/><w:jc w:val="both"/></w:pPr><w:r><w:rPr><w:rFonts w:ascii="Arial" w:cs="Arial" w:eastAsia="Arial" w:hAnsi="Arial"/><w:sz w:val="22"/><w:szCs w:val="22"/></w:rPr><w:t xml:space="preserve">The four submitted manuscripts will be actively managed through the peer-review process. The PI will respond to referee reports with full proofs where sketch proofs were provided in the initial submission, including: the symplectic preservation theorem (Theorem 12.1, Volume One) in full detail using the distributional Lagrangian; the A-equivalence classification completeness (Theorem 9.1) via Mather&apos;s stability theorem; and the dm3 structural closure theorem (Paper 3) establishing that no fifth bifurcation type is admissible under contact normal form rigidity.</w:t></w:r></w:p><w:p><w:pPr><w:spacing w:before="180" w:after="60"/></w:pPr><w:r><w:rPr><w:rFonts w:ascii="Arial" w:cs="Arial" w:eastAsia="Arial" w:hAnsi="Arial"/><w:b/><w:bCs/><w:color w:val="2E74B5"/><w:sz w:val="22"/><w:szCs w:val="22"/></w:rPr><w:t xml:space="preserve">4.1.2 arXiv Endorsement and Open Archiving</w:t></w:r></w:p><w:p><w:pPr><w:spacing w:before="60" w:after="100"/><w:jc w:val="both"/></w:pPr><w:r><w:rPr><w:rFonts w:ascii="Arial" w:cs="Arial" w:eastAsia="Arial" w:hAnsi="Arial"/><w:sz w:val="22"/><w:szCs w:val="22"/></w:rPr><w:t xml:space="preserve">All four papers will be deposited on Zenodo immediately upon acceptance (permanent DOI, indexed by Google Scholar). arXiv endorsement will be pursued through established contacts in contact geometry (Eva Miranda, UPC Barcelona; Alessandro Bravetti, University of Camerino) following their review of the manuscripts. This open-access strategy ensures the work is immediately available to the mathematical community regardless of journal publication timelines.</w:t></w:r></w:p><w:p><w:pPr><w:spacing w:before="180" w:after="60"/></w:pPr><w:r><w:rPr><w:rFonts w:ascii="Arial" w:cs="Arial" w:eastAsia="Arial" w:hAnsi="Arial"/><w:b/><w:bCs/><w:color w:val="2E74B5"/><w:sz w:val="22"/><w:szCs w:val="22"/></w:rPr><w:t xml:space="preserve">4.1.3 Volume Two — Renormalization and Discrete Integrators</w:t></w:r></w:p><w:p><w:pPr><w:spacing w:before="60" w:after="100"/><w:jc w:val="both"/></w:pPr><w:r><w:rPr><w:rFonts w:ascii="Arial" w:cs="Arial" w:eastAsia="Arial" w:hAnsi="Arial"/><w:sz w:val="22"/><w:szCs w:val="22"/></w:rPr><w:t xml:space="preserve">The six provable targets identified in the Volume Two structural outline will be completed in Months 3–9: function-space foundation (Banach setting for the renormalization operator R), domain invariance and continuity of R on unimodal map spaces, Feigenbaum fixed-point basin verification for the discretized gradient flow f_{λ,h}, hyperbolicity of the renormalization horseshoe (Avila–Lyubich import), trace bound for the n = 64 operator algebra M₆₄, and algebraic-topological separation sharpness. The nine conjectural directions (h → 0 limit, m = 33 Morse stabilization, Kether Orthogon conjecture) will be precisely formulated with proof-readiness assessments.</w:t></w:r></w:p><w:p><w:pPr><w:spacing w:before="80" w:after="0"/></w:pPr></w:p><w:p><w:pPr><w:pStyle w:val="Heading2"/><w:spacing w:before="240" w:after="80"/></w:pPr><w:r><w:rPr><w:rFonts w:ascii="Arial" w:cs="Arial" w:eastAsia="Arial" w:hAnsi="Arial"/><w:b/><w:bCs/><w:color w:val="2E74B5"/><w:sz w:val="24"/><w:szCs w:val="24"/></w:rPr><w:t xml:space="preserve">4.2 Phase 2 — Biological Instantiations (Months 8–20)</w:t></w:r></w:p><w:p><w:pPr><w:spacing w:before="180" w:after="60"/></w:pPr><w:r><w:rPr><w:rFonts w:ascii="Arial" w:cs="Arial" w:eastAsia="Arial" w:hAnsi="Arial"/><w:b/><w:bCs/><w:color w:val="2E74B5"/><w:sz w:val="22"/><w:szCs w:val="22"/></w:rPr><w:t xml:space="preserve">4.2.1 Circadian Rhythms — Primary Target</w:t></w:r></w:p><w:p><w:pPr><w:spacing w:before="60" w:after="100"/><w:jc w:val="both"/></w:pPr><w:r><w:rPr><w:rFonts w:ascii="Arial" w:cs="Arial" w:eastAsia="Arial" w:hAnsi="Arial"/><w:sz w:val="22"/><w:szCs w:val="22"/></w:rPr><w:t xml:space="preserve">The circadian clock section will be written first as it constitutes the mathematically cleanest dm3 instantiation. The Goodwin oscillator (ẋ₁ = v₁Kⁿ/(Kⁿ + xₙ²) − v₂x₁/(K_m + x₁), etc.) will be shown to satisfy Axioms 1–8 of the GCM framework with T* = 24 hours, μ_max computable from entrainment data, and τ equal to the light-intensity threshold for entrainment. Jet lag and circadian disruption will be modeled as threshold-crossing events (σ &gt; τ), and the recovery-time prediction will be derived analytically and tested against published chronobiology datasets.</w:t></w:r></w:p><w:p><w:pPr><w:spacing w:before="180" w:after="60"/></w:pPr><w:r><w:rPr><w:rFonts w:ascii="Arial" w:cs="Arial" w:eastAsia="Arial" w:hAnsi="Arial"/><w:b/><w:bCs/><w:color w:val="2E74B5"/><w:sz w:val="22"/><w:szCs w:val="22"/></w:rPr><w:t xml:space="preserve">4.2.2 Allostatic Stress Response Network</w:t></w:r></w:p><w:p><w:pPr><w:spacing w:before="60" w:after="100"/><w:jc w:val="both"/></w:pPr><w:r><w:rPr><w:rFonts w:ascii="Arial" w:cs="Arial" w:eastAsia="Arial" w:hAnsi="Arial"/><w:sz w:val="22"/><w:szCs w:val="22"/></w:rPr><w:t xml:space="preserve">The Bell–Koithan (2012) allostatic network model will be translated into the dm3 framework. The limit cycle Γ corresponds to the healthy homeostatic attractor; the basin ℬ(Γ) to adaptive capacity; allostatic overload to crossing the identity boundary B₁; chronic disease to loss of orbit (B₃). The combined-stressor prediction τ₁₂ ≤ min(τ₁, τ₂) will be formalized using the stochastic Lyapunov condition and tested against cortisol/HPA axis response data from the literature.</w:t></w:r></w:p><w:p><w:pPr><w:spacing w:before="180" w:after="60"/></w:pPr><w:r><w:rPr><w:rFonts w:ascii="Arial" w:cs="Arial" w:eastAsia="Arial" w:hAnsi="Arial"/><w:b/><w:bCs/><w:color w:val="2E74B5"/><w:sz w:val="22"/><w:szCs w:val="22"/></w:rPr><w:t xml:space="preserve">4.2.3 Neural Oscillations and Immune Adaptation</w:t></w:r></w:p><w:p><w:pPr><w:spacing w:before="60" w:after="100"/><w:jc w:val="both"/></w:pPr><w:r><w:rPr><w:rFonts w:ascii="Arial" w:cs="Arial" w:eastAsia="Arial" w:hAnsi="Arial"/><w:sz w:val="22"/><w:szCs w:val="22"/></w:rPr><w:t xml:space="preserve">Neural oscillations (alpha, beta, gamma rhythms) will be modeled as dm3 limit cycles with the fold at κ* corresponding to phase transitions (sleep/wake, seizure onset, anesthesia). Immune adaptation will be modeled via the g₃ morphism (cross-adaptation as vaccination), with autoimmune disease corresponding to collapse of the self/non-self boundary B₃. The homeopathy test case will be included as a scientifically conservative falsifiability target: the dose-response prediction is stated in fully testable form and makes no metaphysical claims.</w:t></w:r></w:p><w:p><w:pPr><w:spacing w:before="80" w:after="0"/></w:pPr></w:p><w:p><w:pPr><w:pStyle w:val="Heading2"/><w:spacing w:before="240" w:after="80"/></w:pPr><w:r><w:rPr><w:rFonts w:ascii="Arial" w:cs="Arial" w:eastAsia="Arial" w:hAnsi="Arial"/><w:b/><w:bCs/><w:color w:val="2E74B5"/><w:sz w:val="24"/><w:szCs w:val="24"/></w:rPr><w:t xml:space="preserve">4.3 Phase 3 — Cross-Disciplinary Linguistic Unification (Months 14–24)</w:t></w:r></w:p><w:p><w:pPr><w:spacing w:before="60" w:after="100"/><w:jc w:val="both"/></w:pPr><w:r><w:rPr><w:rFonts w:ascii="Arial" w:cs="Arial" w:eastAsia="Arial" w:hAnsi="Arial"/><w:sz w:val="22"/><w:szCs w:val="22"/></w:rPr><w:t xml:space="preserve">The linguistic unification project formalizes the observation that the operator grammar C → K → F → U admits domain-independent instantiation: the same structural sequence describes elastic buckling, biological tipping points, market bifurcations, and plasma reconnection. The research will develop: (a) a functor from the category of GCM systems to each target domain, with natural transformations encoding the translation; (b) a universal translation dictionary in three tiers (geometric, dynamical, phenomenological); and (c) a workshop proposal for a cross-disciplinary working group to apply the grammar in plasma physics (Volume Three, magnetic reconnection) and quantitative finance (price-trajectory bifurcations).</w:t></w:r></w:p><w:p><w:pPr><w:spacing w:before="60" w:after="100"/><w:jc w:val="both"/></w:pPr><w:r><w:rPr><w:rFonts w:ascii="Arial" w:cs="Arial" w:eastAsia="Arial" w:hAnsi="Arial"/><w:sz w:val="22"/><w:szCs w:val="22"/></w:rPr><w:t xml:space="preserve">The projected productivity impact (5–50%) is grounded in quantitative models of scientific collaboration (Wuchty–Jones–Uzzi, Science 2007; Jones–Wuchty–Uzzi, Science 2008) showing that cross-disciplinary teams produce higher-impact work when translation costs are reduced. The unified operator grammar constitutes exactly such a cost-reduction mechanism.</w:t></w:r></w:p><w:p><w:r><w:br w:type="page"/></w:r></w:p><w:p><w:pPr><w:pStyle w:val="Heading1"/><w:spacing w:before="320" w:after="120"/></w:pPr><w:r><w:rPr><w:rFonts w:ascii="Arial" w:cs="Arial" w:eastAsia="Arial" w:hAnsi="Arial"/><w:b/><w:bCs/><w:color w:val="1F4E79"/><w:sz w:val="30"/><w:szCs w:val="30"/></w:rPr><w:t xml:space="preserve">5. Milestones and Timeline</w:t></w:r></w:p><w:p><w:pPr><w:pBdr><w:bottom w:val="single" w:color="9DC3E6" w:sz="4" w:space="1"/></w:pBdr><w:spacing w:before="80"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200"/><w:gridCol w:w="3360"/><w:gridCol w:w="2400"/><w:gridCol w:w="2400"/></w:tblGrid><w:tr><0/></w:tr><w:tr><0/></w:tr><w:tr><0/></w:tr><w:tr><0/></w:tr><w:tr><0/></w:tr><w:tr><0/></w:tr><w:tr><0/></w:tr><w:tr><0/></w:tr><w:tr><0/></w:tr></w:tbl><w:p><w:r><w:br w:type="page"/></w:r></w:p><w:p><w:pPr><w:pStyle w:val="Heading1"/><w:spacing w:before="320" w:after="120"/></w:pPr><w:r><w:rPr><w:rFonts w:ascii="Arial" w:cs="Arial" w:eastAsia="Arial" w:hAnsi="Arial"/><w:b/><w:bCs/><w:color w:val="1F4E79"/><w:sz w:val="30"/><w:szCs w:val="30"/></w:rPr><w:t xml:space="preserve">6. Broader Impacts</w:t></w:r></w:p><w:p><w:pPr><w:pBdr><w:bottom w:val="single" w:color="9DC3E6" w:sz="4" w:space="1"/></w:pBdr><w:spacing w:before="80" w:after="80"/></w:pPr></w:p><w:p><w:pPr><w:spacing w:before="60" w:after="100"/><w:jc w:val="both"/></w:pPr><w:r><w:rPr><w:rFonts w:ascii="Arial" w:cs="Arial" w:eastAsia="Arial" w:hAnsi="Arial"/><w:sz w:val="22"/><w:szCs w:val="22"/></w:rPr><w:t xml:space="preserve">The Principia Orthogona / GCM program generates broader impacts across four dimensions:</w:t></w:r></w:p><w:p><w:pPr><w:pStyle w:val="ListParagraph"/><w:numPr><w:ilvl w:val="0"/><w:numId w:val="2"/></w:numPr><w:spacing w:before="40" w:after="40"/></w:pPr><w:r><w:rPr><w:rFonts w:ascii="Arial" w:cs="Arial" w:eastAsia="Arial" w:hAnsi="Arial"/><w:sz w:val="22"/><w:szCs w:val="22"/></w:rPr><w:t xml:space="preserve">Scientific unification: The operator grammar C → K → F → U provides a shared mathematical language for generative transitions across geometry, biology, physics, and economics. Volume Three&apos;s cross-domain translation table makes this grammar immediately usable by non-specialists in each field.</w:t></w:r></w:p><w:p><w:pPr><w:pStyle w:val="ListParagraph"/><w:numPr><w:ilvl w:val="0"/><w:numId w:val="2"/></w:numPr><w:spacing w:before="40" w:after="40"/></w:pPr><w:r><w:rPr><w:rFonts w:ascii="Arial" w:cs="Arial" w:eastAsia="Arial" w:hAnsi="Arial"/><w:sz w:val="22"/><w:szCs w:val="22"/></w:rPr><w:t xml:space="preserve">Biological applications: The three falsifiable predictions in Volume Three — concerning allostatic load, circadian recovery, and dose-response thresholds — are testable against existing clinical and chronobiological datasets. A confirmed prediction would establish a new quantitative tool for resilience modeling in medicine and public health.</w:t></w:r></w:p><w:p><w:pPr><w:pStyle w:val="ListParagraph"/><w:numPr><w:ilvl w:val="0"/><w:numId w:val="2"/></w:numPr><w:spacing w:before="40" w:after="40"/></w:pPr><w:r><w:rPr><w:rFonts w:ascii="Arial" w:cs="Arial" w:eastAsia="Arial" w:hAnsi="Arial"/><w:sz w:val="22"/><w:szCs w:val="22"/></w:rPr><w:t xml:space="preserve">Broadening participation: The PI is an independent researcher and Academic Coordinator at an ESL institution (UCEDA School, Elizabeth, NJ) serving a predominantly immigrant and first-generation college student population. NSF support will enable the PI to mentor undergraduate and community college students in mathematical research, demonstrating that rigorous frontier mathematics is accessible outside R1 settings.</w:t></w:r></w:p><w:p><w:pPr><w:pStyle w:val="ListParagraph"/><w:numPr><w:ilvl w:val="0"/><w:numId w:val="2"/></w:numPr><w:spacing w:before="40" w:after="40"/></w:pPr><w:r><w:rPr><w:rFonts w:ascii="Arial" w:cs="Arial" w:eastAsia="Arial" w:hAnsi="Arial"/><w:sz w:val="22"/><w:szCs w:val="22"/></w:rPr><w:t xml:space="preserve">Open science: All outputs will be deposited on Zenodo with permanent DOIs and Creative Commons licenses. The LaTeX source code for all four papers will be made publicly available. Workshop proceedings will be published open-access.</w:t></w:r></w:p><w:p><w:pPr><w:pStyle w:val="ListParagraph"/><w:numPr><w:ilvl w:val="0"/><w:numId w:val="2"/></w:numPr><w:spacing w:before="40" w:after="40"/></w:pPr><w:r><w:rPr><w:rFonts w:ascii="Arial" w:cs="Arial" w:eastAsia="Arial" w:hAnsi="Arial"/><w:sz w:val="22"/><w:szCs w:val="22"/></w:rPr><w:t xml:space="preserve">Linguistic and productivity impact: The cross-disciplinary linguistic unification project targets a reduction in translation cost between scientific fields. Conservative estimates based on the collaboration productivity literature suggest a 5–50% increase in effective research output when shared formal grammars reduce inter-field communication barriers.</w:t></w:r></w:p><w:p><w:pPr><w:pStyle w:val="Heading1"/><w:spacing w:before="320" w:after="120"/></w:pPr><w:r><w:rPr><w:rFonts w:ascii="Arial" w:cs="Arial" w:eastAsia="Arial" w:hAnsi="Arial"/><w:b/><w:bCs/><w:color w:val="1F4E79"/><w:sz w:val="30"/><w:szCs w:val="30"/></w:rPr><w:t xml:space="preserve">7. Evaluation and Falsifiability</w:t></w:r></w:p><w:p><w:pPr><w:pBdr><w:bottom w:val="single" w:color="9DC3E6" w:sz="4" w:space="1"/></w:pBdr><w:spacing w:before="80" w:after="80"/></w:pPr></w:p><w:p><w:pPr><w:spacing w:before="60" w:after="100"/><w:jc w:val="left"/></w:pPr><w:r><w:rPr><w:rFonts w:ascii="Arial" w:cs="Arial" w:eastAsia="Arial" w:hAnsi="Arial"/><w:sz w:val="22"/><w:szCs w:val="22"/></w:rPr><w:t xml:space="preserve">The framework is falsifiable at four independent levels, as stated in Volume One (§4):</w:t></w:r></w:p><w:p><w:pPr><w:pStyle w:val="ListParagraph"/><w:numPr><w:ilvl w:val="0"/><w:numId w:val="2"/></w:numPr><w:spacing w:before="40" w:after="40"/></w:pPr><w:r><w:rPr><w:rFonts w:ascii="Arial" w:cs="Arial" w:eastAsia="Arial" w:hAnsi="Arial"/><w:sz w:val="22"/><w:szCs w:val="22"/></w:rPr><w:t xml:space="preserve">Compression: If empirical data show expansion under C, or collapse of distinct trajectories to the same image, the compression operator fails its bi-Lipschitz condition.</w:t></w:r></w:p><w:p><w:pPr><w:pStyle w:val="ListParagraph"/><w:numPr><w:ilvl w:val="0"/><w:numId w:val="2"/></w:numPr><w:spacing w:before="40" w:after="40"/></w:pPr><w:r><w:rPr><w:rFonts w:ascii="Arial" w:cs="Arial" w:eastAsia="Arial" w:hAnsi="Arial"/><w:sz w:val="22"/><w:szCs w:val="22"/></w:rPr><w:t xml:space="preserve">Curvature: If a fold occurs at curvature strictly below κ*, or if curvature exceeds κ* without folding, the curvature threshold hypothesis is falsified. The threshold κ* is computed independently via the focal radius — not post-hoc from fold observations.</w:t></w:r></w:p><w:p><w:pPr><w:pStyle w:val="ListParagraph"/><w:numPr><w:ilvl w:val="0"/><w:numId w:val="2"/></w:numPr><w:spacing w:before="40" w:after="40"/></w:pPr><w:r><w:rPr><w:rFonts w:ascii="Arial" w:cs="Arial" w:eastAsia="Arial" w:hAnsi="Arial"/><w:sz w:val="22"/><w:szCs w:val="22"/></w:rPr><w:t xml:space="preserve">Folding: If empirical fold events do not correspond to Jacobian rank loss of exactly 1, or produce infinitely many branches, the folding operator model fails.</w:t></w:r></w:p><w:p><w:pPr><w:pStyle w:val="ListParagraph"/><w:numPr><w:ilvl w:val="0"/><w:numId w:val="2"/></w:numPr><w:spacing w:before="40" w:after="40"/></w:pPr><w:r><w:rPr><w:rFonts w:ascii="Arial" w:cs="Arial" w:eastAsia="Arial" w:hAnsi="Arial"/><w:sz w:val="22"/><w:szCs w:val="22"/></w:rPr><w:t xml:space="preserve">Sequence order: If transitions occur in a different order from C → K → F → U, or if stabilization occurs without a preceding fold, the framework is falsified.</w:t></w:r></w:p><w:p><w:pPr><w:spacing w:before="60" w:after="100"/><w:jc w:val="both"/></w:pPr><w:r><w:rPr><w:rFonts w:ascii="Arial" w:cs="Arial" w:eastAsia="Arial" w:hAnsi="Arial"/><w:sz w:val="22"/><w:szCs w:val="22"/></w:rPr><w:t xml:space="preserve">For the biological instantiations, success will be measured by: (1) acceptance of Volume Three at BioSystems or equivalent; (2) the three quantitative predictions falling within 2σ of published dataset values; and (3) the Goodwin oscillator dm3 verification passing the full Axioms 1–8 checklist.</w:t></w:r></w:p><w:p><w:r><w:br w:type="page"/></w:r></w:p><w:p><w:pPr><w:pStyle w:val="Heading1"/><w:spacing w:before="320" w:after="120"/></w:pPr><w:r><w:rPr><w:rFonts w:ascii="Arial" w:cs="Arial" w:eastAsia="Arial" w:hAnsi="Arial"/><w:b/><w:bCs/><w:color w:val="1F4E79"/><w:sz w:val="30"/><w:szCs w:val="30"/></w:rPr><w:t xml:space="preserve">8. Budget Justification</w:t></w:r></w:p><w:p><w:pPr><w:pBdr><w:bottom w:val="single" w:color="9DC3E6" w:sz="4" w:space="1"/></w:pBdr><w:spacing w:before="80"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000"/><w:gridCol w:w="1786"/><w:gridCol w:w="1787"/><w:gridCol w:w="1787"/></w:tblGrid><w:tr><0/></w:tr><w:tr><0/></w:tr><w:tr><0/></w:tr><w:tr><0/></w:tr><w:tr><0/></w:tr><w:tr><0/></w:tr><w:tr><0/></w:tr><w:tr><0/></w:tr></w:tbl><w:p><w:pPr><w:spacing w:before="80" w:after="0"/></w:pPr></w:p><w:p><w:pPr><w:spacing w:before="60" w:after="100"/><w:jc w:val="both"/></w:pPr><w:r><w:rPr><w:rFonts w:ascii="Arial" w:cs="Arial" w:eastAsia="Arial" w:hAnsi="Arial"/><w:sz w:val="22"/><w:szCs w:val="22"/></w:rPr><w:t xml:space="preserve">Budget notes: PI stipend supports 50% effort; the PI&apos;s Academic Coordinator position provides matching institutional support. Open-access fees cover the APC for Journal of Geometry and Physics (Elsevier open access) and BioSystems. The optional Year 3 standard grant (not requested here) would scale the program to include the cross-disciplinary consortium and postdoctoral fellowship.</w:t></w:r></w:p><w:p><w:pPr><w:pStyle w:val="Heading1"/><w:spacing w:before="320" w:after="120"/></w:pPr><w:r><w:rPr><w:rFonts w:ascii="Arial" w:cs="Arial" w:eastAsia="Arial" w:hAnsi="Arial"/><w:b/><w:bCs/><w:color w:val="1F4E79"/><w:sz w:val="30"/><w:szCs w:val="30"/></w:rPr><w:t xml:space="preserve">9. PI Qualifications and Collaboration Plan</w:t></w:r></w:p><w:p><w:pPr><w:pBdr><w:bottom w:val="single" w:color="9DC3E6" w:sz="4" w:space="1"/></w:pBdr><w:spacing w:before="80" w:after="80"/></w:pPr></w:p><w:p><w:pPr><w:spacing w:before="60" w:after="100"/><w:jc w:val="both"/></w:pPr><w:r><w:rPr><w:rFonts w:ascii="Arial" w:cs="Arial" w:eastAsia="Arial" w:hAnsi="Arial"/><w:sz w:val="22"/><w:szCs w:val="22"/></w:rPr><w:t xml:space="preserve">Pablo Nogueira Grossi is Academic Coordinator at UCEDA School (ESL), Elizabeth, NJ. His educational background spans economics, finance (BBA), tourism (Bacharelado, Brazil), and introductory geology (UnB). The four-paper mathematical research program was developed independently, drawing on a deep engagement with differential geometry, contact mechanics, singularity theory, and dynamical systems through self-directed study and research. The mathematical values and constructions in all papers are original: the operator sequence C → K → F → U, the dm3 toy model, the canonical invariant triple ι(𝔇₀) = (2π, −2, 2), the threshold equivalence theorem, and the biological correspondence tables are all novel contributions.</w:t></w:r></w:p><w:p><w:pPr><w:spacing w:before="60" w:after="100"/><w:jc w:val="both"/></w:pPr><w:r><w:rPr><w:rFonts w:ascii="Arial" w:cs="Arial" w:eastAsia="Arial" w:hAnsi="Arial"/><w:sz w:val="22"/><w:szCs w:val="22"/></w:rPr><w:t xml:space="preserve">The author acknowledges in all papers the foundational influence of the yogic scriptural tradition and the teachings of Paramahamsa Nithyananda, from which the conceptual inspiration for the generative transition framework was derived. The mathematical formalization is the PI&apos;s own work.</w:t></w:r></w:p><w:p><w:pPr><w:spacing w:before="60" w:after="100"/><w:jc w:val="both"/></w:pPr><w:r><w:rPr><w:rFonts w:ascii="Arial" w:cs="Arial" w:eastAsia="Arial" w:hAnsi="Arial"/><w:sz w:val="22"/><w:szCs w:val="22"/></w:rPr><w:t xml:space="preserve">Collaboration plan: The PI has initiated outreach to Eva Miranda (UPC Barcelona / Göttingen, Gauss Professor) and Alessandro Bravetti (University of Camerino) — leading researchers in contact geometry — for scientific review and arXiv endorsement. Helmut Hofer (IAS Princeton) has been identified as a potential collaborator on the symplectic aspects. The workshop proposed in Phase 3 will bring together mathematicians, biologists, and physicists around the cross-domain instantiation program.</w:t></w:r></w:p><w:p><w:r><w:br w:type="page"/></w:r></w:p><w:p><w:pPr><w:pStyle w:val="Heading1"/><w:spacing w:before="320" w:after="120"/></w:pPr><w:r><w:rPr><w:rFonts w:ascii="Arial" w:cs="Arial" w:eastAsia="Arial" w:hAnsi="Arial"/><w:b/><w:bCs/><w:color w:val="1F4E79"/><w:sz w:val="30"/><w:szCs w:val="30"/></w:rPr><w:t xml:space="preserve">10. References</w:t></w:r></w:p><w:p><w:pPr><w:pBdr><w:bottom w:val="single" w:color="9DC3E6" w:sz="4" w:space="1"/></w:pBdr><w:spacing w:before="80" w:after="80"/></w:pPr></w:p><w:p><w:pPr><w:spacing w:before="60" w:after="60"/><w:ind w:left="360" w:hanging="360"/></w:pPr><w:r><w:rPr><w:rFonts w:ascii="Arial" w:cs="Arial" w:eastAsia="Arial" w:hAnsi="Arial"/><w:sz w:val="20"/><w:szCs w:val="20"/></w:rPr><w:t xml:space="preserve">Grossi, P.N. (2026). Principia Orthogona, Volume One: The Mathematics of Generative Transitions. Journal of Geometry and Physics, in press. HAL: hal-05555216.</w:t></w:r></w:p><w:p><w:pPr><w:spacing w:before="60" w:after="60"/><w:ind w:left="360" w:hanging="360"/></w:pPr><w:r><w:rPr><w:rFonts w:ascii="Arial" w:cs="Arial" w:eastAsia="Arial" w:hAnsi="Arial"/><w:sz w:val="20"/><w:szCs w:val="20"/></w:rPr><w:t xml:space="preserve">Grossi, P.N. (2026). Principia Orthogona, Volume Two: Contact Realization of Generative Transitions. Submitted to Journal of Geometry and Physics.</w:t></w:r></w:p><w:p><w:pPr><w:spacing w:before="60" w:after="60"/><w:ind w:left="360" w:hanging="360"/></w:pPr><w:r><w:rPr><w:rFonts w:ascii="Arial" w:cs="Arial" w:eastAsia="Arial" w:hAnsi="Arial"/><w:sz w:val="20"/><w:szCs w:val="20"/></w:rPr><w:t xml:space="preserve">Grossi, P.N. (2026). Generative Contact Mechanics: A Geometric Framework for Dissipative Systems with Structured Limit Cycles. Submitted to Journal of Geometric Mechanics.</w:t></w:r></w:p><w:p><w:pPr><w:spacing w:before="60" w:after="60"/><w:ind w:left="360" w:hanging="360"/></w:pPr><w:r><w:rPr><w:rFonts w:ascii="Arial" w:cs="Arial" w:eastAsia="Arial" w:hAnsi="Arial"/><w:sz w:val="20"/><w:szCs w:val="20"/></w:rPr><w:t xml:space="preserve">Grossi, P.N. (2026). The dm3 Operator: Explicit Toy Model and Global Dynamical Analysis. Submitted to SIAM Journal on Applied Dynamical Systems.</w:t></w:r></w:p><w:p><w:pPr><w:spacing w:before="60" w:after="60"/><w:ind w:left="360" w:hanging="360"/></w:pPr><w:r><w:rPr><w:rFonts w:ascii="Arial" w:cs="Arial" w:eastAsia="Arial" w:hAnsi="Arial"/><w:sz w:val="20"/><w:szCs w:val="20"/></w:rPr><w:t xml:space="preserve">Bravetti, A., Cruz, H., &amp; Tapias, D. (2017). Contact Hamiltonian mechanics. Annals of Physics, 376, 17–39.</w:t></w:r></w:p><w:p><w:pPr><w:spacing w:before="60" w:after="60"/><w:ind w:left="360" w:hanging="360"/></w:pPr><w:r><w:rPr><w:rFonts w:ascii="Arial" w:cs="Arial" w:eastAsia="Arial" w:hAnsi="Arial"/><w:sz w:val="20"/><w:szCs w:val="20"/></w:rPr><w:t xml:space="preserve">Miranda, E., &amp; Oms, C. (2021). Contact structures with singularities: From local to global results. Journal of Geometric Mechanics, 13(2), 257–277.</w:t></w:r></w:p><w:p><w:pPr><w:spacing w:before="60" w:after="60"/><w:ind w:left="360" w:hanging="360"/></w:pPr><w:r><w:rPr><w:rFonts w:ascii="Arial" w:cs="Arial" w:eastAsia="Arial" w:hAnsi="Arial"/><w:sz w:val="20"/><w:szCs w:val="20"/></w:rPr><w:t xml:space="preserve">Avila, A., &amp; Lyubich, M. (2011). The full renormalization horseshoe for unimodal maps of higher degree. Publ. Math. IHES, 114, 171–223.</w:t></w:r></w:p><w:p><w:pPr><w:spacing w:before="60" w:after="60"/><w:ind w:left="360" w:hanging="360"/></w:pPr><w:r><w:rPr><w:rFonts w:ascii="Arial" w:cs="Arial" w:eastAsia="Arial" w:hAnsi="Arial"/><w:sz w:val="20"/><w:szCs w:val="20"/></w:rPr><w:t xml:space="preserve">Lyubich, M. (1999). Feigenbaum–Coullet–Tresser universality and Milnor&apos;s hairiness conjecture. Annals of Mathematics, 149, 319–420.</w:t></w:r></w:p><w:p><w:pPr><w:spacing w:before="60" w:after="60"/><w:ind w:left="360" w:hanging="360"/></w:pPr><w:r><w:rPr><w:rFonts w:ascii="Arial" w:cs="Arial" w:eastAsia="Arial" w:hAnsi="Arial"/><w:sz w:val="20"/><w:szCs w:val="20"/></w:rPr><w:t xml:space="preserve">Arnold, V.I., Gusein-Zade, S.M., &amp; Varchenko, A.N. (1985). Singularities of Differentiable Maps, Vol. I. Birkhäuser.</w:t></w:r></w:p><w:p><w:pPr><w:spacing w:before="60" w:after="60"/><w:ind w:left="360" w:hanging="360"/></w:pPr><w:r><w:rPr><w:rFonts w:ascii="Arial" w:cs="Arial" w:eastAsia="Arial" w:hAnsi="Arial"/><w:sz w:val="20"/><w:szCs w:val="20"/></w:rPr><w:t xml:space="preserve">Bell, I.R., &amp; Koithan, M. (2012). A model for homeopathic remedy effects: low dose nanoparticles, allostatic cross-adaptation, and time-dependent sensitization. BMC Complementary and Alternative Medicine, 12, 191.</w:t></w:r></w:p><w:p><w:pPr><w:spacing w:before="60" w:after="60"/><w:ind w:left="360" w:hanging="360"/></w:pPr><w:r><w:rPr><w:rFonts w:ascii="Arial" w:cs="Arial" w:eastAsia="Arial" w:hAnsi="Arial"/><w:sz w:val="20"/><w:szCs w:val="20"/></w:rPr><w:t xml:space="preserve">Goodwin, B.C. (1965). Oscillatory behavior in enzymatic control processes. Advances in Enzyme Regulation, 3, 425–438.</w:t></w:r></w:p><w:p><w:pPr><w:spacing w:before="60" w:after="60"/><w:ind w:left="360" w:hanging="360"/></w:pPr><w:r><w:rPr><w:rFonts w:ascii="Arial" w:cs="Arial" w:eastAsia="Arial" w:hAnsi="Arial"/><w:sz w:val="20"/><w:szCs w:val="20"/></w:rPr><w:t xml:space="preserve">Ambrosio, L., &amp; Tortorelli, V.M. (1990). Approximation of functionals depending on jumps. Communications on Pure and Applied Mathematics, 43(8), 999–1036.</w:t></w:r></w:p><w:p><w:pPr><w:spacing w:before="60" w:after="60"/><w:ind w:left="360" w:hanging="360"/></w:pPr><w:r><w:rPr><w:rFonts w:ascii="Arial" w:cs="Arial" w:eastAsia="Arial" w:hAnsi="Arial"/><w:sz w:val="20"/><w:szCs w:val="20"/></w:rPr><w:t xml:space="preserve">Wuchty, S., Jones, B.F., &amp; Uzzi, B. (2007). The increasing dominance of teams in production of knowledge. Science, 316(5827), 1036–1039.</w:t></w:r></w:p><w:p><w:pPr><w:spacing w:before="60" w:after="60"/><w:ind w:left="360" w:hanging="360"/></w:pPr><w:r><w:rPr><w:rFonts w:ascii="Arial" w:cs="Arial" w:eastAsia="Arial" w:hAnsi="Arial"/><w:sz w:val="20"/><w:szCs w:val="20"/></w:rPr><w:t xml:space="preserve">Collet, P., &amp; Eckmann, J.-P. (1980). Iterated Maps on the Interval as Dynamical Systems. Birkhäuser.</w:t></w:r></w:p><w:p><w:pPr><w:spacing w:before="60" w:after="60"/><w:ind w:left="360" w:hanging="360"/></w:pPr><w:r><w:rPr><w:rFonts w:ascii="Arial" w:cs="Arial" w:eastAsia="Arial" w:hAnsi="Arial"/><w:sz w:val="20"/><w:szCs w:val="20"/></w:rPr><w:t xml:space="preserve">do Carmo, M. (1992). Riemannian Geometry. Birkhäuser.</w:t></w:r></w:p><w:sectPr><w:headerReference w:type="default" r:id="rId6"/><w:footerReference w:type="default" r:id="rId7"/><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C3E6" w:sz="4" w:space="1"/>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C3E6" w:sz="4" w:space="1"/>
      </w:pBdr>
    </w:pPr>
    <w:r>
      <w:rPr>
        <w:rFonts w:ascii="Arial" w:cs="Arial" w:eastAsia="Arial" w:hAnsi="Arial"/>
        <w:color w:val="595959"/>
        <w:sz w:val="18"/>
        <w:szCs w:val="18"/>
      </w:rPr>
      <w:t xml:space="preserve">NSF Proposal — Principia Orthogona / Generative Contact Mechanics</w:t>
    </w:r>
    <w:r>
      <w:rPr>
        <w:rFonts w:ascii="Arial" w:cs="Arial" w:eastAsia="Arial" w:hAnsi="Arial"/>
        <w:color w:val="595959"/>
        <w:sz w:val="18"/>
        <w:szCs w:val="18"/>
      </w:rPr>
      <w:t xml:space="preserve">    Pablo Nogueira Grossi | UCEDA School, Elizabeth, NJ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2026-03-19T02:23:41.611Z</dcterms:created>
  <dcterms:modified xsi:type="dcterms:W3CDTF">2026-03-19T02:23:41.612Z</dcterms:modified>
</cp:coreProperties>
</file>

<file path=docProps/custom.xml><?xml version="1.0" encoding="utf-8"?>
<Properties xmlns="http://schemas.openxmlformats.org/officeDocument/2006/custom-properties" xmlns:vt="http://schemas.openxmlformats.org/officeDocument/2006/docPropsVTypes"/>
</file>