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cnqddj8w6pp" w:id="0"/>
      <w:bookmarkEnd w:id="0"/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niKoli2019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305050" cy="1695450"/>
            <wp:effectExtent b="0" l="0" r="0" t="0"/>
            <wp:docPr descr="niKoli2019.jpg" id="1" name="image01.jpg"/>
            <a:graphic>
              <a:graphicData uri="http://schemas.openxmlformats.org/drawingml/2006/picture">
                <pic:pic>
                  <pic:nvPicPr>
                    <pic:cNvPr descr="niKoli2019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Reglas: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Las regiones deben sumar la cantidad especificada (tener en cuenta que las celdas pueden pertenecer a más de una región)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deja celdas contiguas con valor 1, estas deben pertenecer a la misma región.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