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rFonts w:ascii="Calibri" w:cs="Calibri" w:eastAsia="Calibri" w:hAnsi="Calibri"/>
          <w:b/>
          <w:bCs/>
          <w:color w:val="B8954A"/>
          <w:sz w:val="18"/>
          <w:szCs w:val="18"/>
        </w:rPr>
        <w:t xml:space="preserve">GO-TO-MARKET PLAN</w:t>
      </w:r>
    </w:p>
    <w:p>
      <w:pPr>
        <w:spacing w:after="0" w:before="200"/>
      </w:pPr>
      <w:r>
        <w:rPr>
          <w:rFonts w:ascii="Calibri" w:cs="Calibri" w:eastAsia="Calibri" w:hAnsi="Calibri"/>
          <w:b/>
          <w:bCs/>
          <w:color w:val="0A0E1A"/>
          <w:sz w:val="64"/>
          <w:szCs w:val="64"/>
        </w:rPr>
        <w:t xml:space="preserve">Perpetual Core RFP &amp; Proposal Engine</w:t>
      </w:r>
    </w:p>
    <w:p>
      <w:pPr>
        <w:spacing w:after="400" w:before="100"/>
      </w:pPr>
      <w:r>
        <w:rPr>
          <w:rFonts w:ascii="Calibri" w:cs="Calibri" w:eastAsia="Calibri" w:hAnsi="Calibri"/>
          <w:i/>
          <w:iCs/>
          <w:color w:val="4A5568"/>
          <w:sz w:val="28"/>
          <w:szCs w:val="28"/>
        </w:rPr>
        <w:t xml:space="preserve">Positioning, pricing, sales motion, and launch copy</w:t>
      </w:r>
    </w:p>
    <w:p>
      <w:pPr>
        <w:spacing w:after="0" w:before="1600"/>
      </w:pPr>
      <w:r>
        <w:rPr>
          <w:rFonts w:ascii="Calibri" w:cs="Calibri" w:eastAsia="Calibri" w:hAnsi="Calibri"/>
          <w:color w:val="718096"/>
          <w:sz w:val="16"/>
          <w:szCs w:val="16"/>
        </w:rPr>
        <w:t xml:space="preserve">May 2026  ·  v1.0</w:t>
      </w:r>
    </w:p>
    <w:p>
      <w:pPr>
        <w:pageBreakBefore/>
      </w:pPr>
    </w:p>
    <w:p>
      <w:pPr>
        <w:pStyle w:val="Heading1"/>
        <w:spacing w:after="200" w:before="480"/>
      </w:pPr>
      <w:r>
        <w:rPr>
          <w:rFonts w:ascii="Calibri" w:cs="Calibri" w:eastAsia="Calibri" w:hAnsi="Calibri"/>
          <w:b/>
          <w:bCs/>
          <w:color w:val="0A0E1A"/>
          <w:sz w:val="36"/>
          <w:szCs w:val="36"/>
        </w:rPr>
        <w:t xml:space="preserve">1. Positioning</w:t>
      </w:r>
    </w:p>
    <w:p>
      <w:pPr>
        <w:pStyle w:val="Heading2"/>
        <w:spacing w:after="160" w:before="360"/>
      </w:pPr>
      <w:r>
        <w:rPr>
          <w:rFonts w:ascii="Calibri" w:cs="Calibri" w:eastAsia="Calibri" w:hAnsi="Calibri"/>
          <w:b/>
          <w:bCs/>
          <w:color w:val="0A0E1A"/>
          <w:sz w:val="28"/>
          <w:szCs w:val="28"/>
        </w:rPr>
        <w:t xml:space="preserve">1.1 The product, in one sentence</w:t>
      </w:r>
    </w:p>
    <w:p>
      <w:pPr>
        <w:spacing w:after="240" w:before="240" w:line="360"/>
        <w:jc w:val="center"/>
      </w:pPr>
      <w:r>
        <w:rPr>
          <w:rFonts w:ascii="Calibri" w:cs="Calibri" w:eastAsia="Calibri" w:hAnsi="Calibri"/>
          <w:i/>
          <w:iCs/>
          <w:color w:val="0A0E1A"/>
          <w:sz w:val="28"/>
          <w:szCs w:val="28"/>
        </w:rPr>
        <w:t xml:space="preserve">“The capture team your organization couldn't afford to hire — discovering the right RFPs, drafting in your voice, ready to submit.”</w:t>
      </w:r>
    </w:p>
    <w:p>
      <w:pPr>
        <w:pStyle w:val="Heading2"/>
        <w:spacing w:after="160" w:before="360"/>
      </w:pPr>
      <w:r>
        <w:rPr>
          <w:rFonts w:ascii="Calibri" w:cs="Calibri" w:eastAsia="Calibri" w:hAnsi="Calibri"/>
          <w:b/>
          <w:bCs/>
          <w:color w:val="0A0E1A"/>
          <w:sz w:val="28"/>
          <w:szCs w:val="28"/>
        </w:rPr>
        <w:t xml:space="preserve">1.2 Brand architecture</w:t>
      </w:r>
    </w:p>
    <w:p>
      <w:pPr>
        <w:spacing w:after="120" w:before="80" w:line="320"/>
      </w:pPr>
      <w:r>
        <w:rPr>
          <w:rFonts w:ascii="Calibri" w:cs="Calibri" w:eastAsia="Calibri" w:hAnsi="Calibri"/>
          <w:color w:val="1A202C"/>
          <w:sz w:val="22"/>
          <w:szCs w:val="22"/>
        </w:rPr>
        <w:t xml:space="preserve">The Perpetual Core RFP &amp; Proposal Engine is the first commercial product released under The Perpetual Core, the technology company in the broader venture stack. Future Perpetual Core products (the Plaud Voice Agent, the Boardroom Production Agent, the Compliance Filing Agent) will share the same brand house, the same multi-tenant infrastructure, and the same audit-grade philosophy. The RFP &amp; Proposal Engine is the wedge — the product that earns the trust and the customer base that the rest of the Perpetual Core suite will graduate into.</w:t>
      </w:r>
    </w:p>
    <w:p>
      <w:pPr>
        <w:pStyle w:val="Heading2"/>
        <w:spacing w:after="160" w:before="360"/>
      </w:pPr>
      <w:r>
        <w:rPr>
          <w:rFonts w:ascii="Calibri" w:cs="Calibri" w:eastAsia="Calibri" w:hAnsi="Calibri"/>
          <w:b/>
          <w:bCs/>
          <w:color w:val="0A0E1A"/>
          <w:sz w:val="28"/>
          <w:szCs w:val="28"/>
        </w:rPr>
        <w:t xml:space="preserve">1.3 Category</w:t>
      </w:r>
    </w:p>
    <w:p>
      <w:pPr>
        <w:spacing w:after="120" w:before="80" w:line="320"/>
      </w:pPr>
      <w:r>
        <w:rPr>
          <w:rFonts w:ascii="Calibri" w:cs="Calibri" w:eastAsia="Calibri" w:hAnsi="Calibri"/>
          <w:color w:val="1A202C"/>
          <w:sz w:val="22"/>
          <w:szCs w:val="22"/>
        </w:rPr>
        <w:t xml:space="preserve">We are not a grant database. We are not a generic AI writer. We sit in a new category: AI-Native Capture Operations. The capture function in government contracting and grant-seeking has historically been a $90K–$180K human role staffed only by organizations with $5M+ in annual contract revenue. Below that line, capture is improvised by founders, executive directors, and program staff stealing time from delivery. That is the gap we close.</w:t>
      </w:r>
    </w:p>
    <w:p>
      <w:pPr>
        <w:pStyle w:val="Heading2"/>
        <w:spacing w:after="160" w:before="360"/>
      </w:pPr>
      <w:r>
        <w:rPr>
          <w:rFonts w:ascii="Calibri" w:cs="Calibri" w:eastAsia="Calibri" w:hAnsi="Calibri"/>
          <w:b/>
          <w:bCs/>
          <w:color w:val="0A0E1A"/>
          <w:sz w:val="28"/>
          <w:szCs w:val="28"/>
        </w:rPr>
        <w:t xml:space="preserve">1.3 Audiences and what they buy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4060"/>
      </w:tblGrid>
      <w:tr>
        <w:tc>
          <w:tcPr>
            <w:tcW w:type="dxa" w:w="2700"/>
            <w:tcBorders>
              <w:top w:val="single" w:color="D4D4D8" w:sz="1"/>
              <w:left w:val="single" w:color="D4D4D8" w:sz="1"/>
              <w:bottom w:val="single" w:color="D4D4D8" w:sz="1"/>
              <w:right w:val="single" w:color="D4D4D8" w:sz="1"/>
            </w:tcBorders>
            <w:shd w:fill="F7F5F0" w:val="clear"/>
            <w:tcMar>
              <w:top w:type="dxa" w:w="120"/>
              <w:left w:type="dxa" w:w="160"/>
              <w:bottom w:type="dxa" w:w="120"/>
              <w:right w:type="dxa" w:w="160"/>
            </w:tcMar>
          </w:tcPr>
          <w:p>
            <w:pPr>
              <w:jc w:val="left"/>
            </w:pPr>
            <w:r>
              <w:rPr>
                <w:rFonts w:ascii="Calibri" w:cs="Calibri" w:eastAsia="Calibri" w:hAnsi="Calibri"/>
                <w:b/>
                <w:bCs/>
                <w:color w:val="1A202C"/>
                <w:sz w:val="20"/>
                <w:szCs w:val="20"/>
              </w:rPr>
              <w:t xml:space="preserve">Audience</w:t>
            </w:r>
          </w:p>
        </w:tc>
        <w:tc>
          <w:tcPr>
            <w:tcW w:type="dxa" w:w="3600"/>
            <w:tcBorders>
              <w:top w:val="single" w:color="D4D4D8" w:sz="1"/>
              <w:left w:val="single" w:color="D4D4D8" w:sz="1"/>
              <w:bottom w:val="single" w:color="D4D4D8" w:sz="1"/>
              <w:right w:val="single" w:color="D4D4D8" w:sz="1"/>
            </w:tcBorders>
            <w:shd w:fill="F7F5F0" w:val="clear"/>
            <w:tcMar>
              <w:top w:type="dxa" w:w="120"/>
              <w:left w:type="dxa" w:w="160"/>
              <w:bottom w:type="dxa" w:w="120"/>
              <w:right w:type="dxa" w:w="160"/>
            </w:tcMar>
          </w:tcPr>
          <w:p>
            <w:pPr>
              <w:jc w:val="left"/>
            </w:pPr>
            <w:r>
              <w:rPr>
                <w:rFonts w:ascii="Calibri" w:cs="Calibri" w:eastAsia="Calibri" w:hAnsi="Calibri"/>
                <w:b/>
                <w:bCs/>
                <w:color w:val="1A202C"/>
                <w:sz w:val="20"/>
                <w:szCs w:val="20"/>
              </w:rPr>
              <w:t xml:space="preserve">Pain</w:t>
            </w:r>
          </w:p>
        </w:tc>
        <w:tc>
          <w:tcPr>
            <w:tcW w:type="dxa" w:w="4060"/>
            <w:tcBorders>
              <w:top w:val="single" w:color="D4D4D8" w:sz="1"/>
              <w:left w:val="single" w:color="D4D4D8" w:sz="1"/>
              <w:bottom w:val="single" w:color="D4D4D8" w:sz="1"/>
              <w:right w:val="single" w:color="D4D4D8" w:sz="1"/>
            </w:tcBorders>
            <w:shd w:fill="F7F5F0" w:val="clear"/>
            <w:tcMar>
              <w:top w:type="dxa" w:w="120"/>
              <w:left w:type="dxa" w:w="160"/>
              <w:bottom w:type="dxa" w:w="120"/>
              <w:right w:type="dxa" w:w="160"/>
            </w:tcMar>
          </w:tcPr>
          <w:p>
            <w:pPr>
              <w:jc w:val="left"/>
            </w:pPr>
            <w:r>
              <w:rPr>
                <w:rFonts w:ascii="Calibri" w:cs="Calibri" w:eastAsia="Calibri" w:hAnsi="Calibri"/>
                <w:b/>
                <w:bCs/>
                <w:color w:val="1A202C"/>
                <w:sz w:val="20"/>
                <w:szCs w:val="20"/>
              </w:rPr>
              <w:t xml:space="preserve">What they hear from us</w:t>
            </w:r>
          </w:p>
        </w:tc>
      </w:tr>
      <w:tr>
        <w:tc>
          <w:tcPr>
            <w:tcW w:type="dxa" w:w="2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Workforce dev nonprofits ($500K-$10M)</w:t>
            </w:r>
          </w:p>
        </w:tc>
        <w:tc>
          <w:tcPr>
            <w:tcW w:type="dxa" w:w="36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Miss 70% of fitting RFPs; one writer can't keep up</w:t>
            </w:r>
          </w:p>
        </w:tc>
        <w:tc>
          <w:tcPr>
            <w:tcW w:type="dxa" w:w="40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Never miss the right grant; submit 3x more, win more</w:t>
            </w:r>
          </w:p>
        </w:tc>
      </w:tr>
      <w:tr>
        <w:tc>
          <w:tcPr>
            <w:tcW w:type="dxa" w:w="2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Faith-based and community CBOs</w:t>
            </w:r>
          </w:p>
        </w:tc>
        <w:tc>
          <w:tcPr>
            <w:tcW w:type="dxa" w:w="36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No proposal infrastructure; intimidated by federal</w:t>
            </w:r>
          </w:p>
        </w:tc>
        <w:tc>
          <w:tcPr>
            <w:tcW w:type="dxa" w:w="40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Federal-grade proposals without a federal-grade team</w:t>
            </w:r>
          </w:p>
        </w:tc>
      </w:tr>
      <w:tr>
        <w:tc>
          <w:tcPr>
            <w:tcW w:type="dxa" w:w="2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Healthcare and education nonprofits</w:t>
            </w:r>
          </w:p>
        </w:tc>
        <w:tc>
          <w:tcPr>
            <w:tcW w:type="dxa" w:w="36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Generic AI writers don't sound like us</w:t>
            </w:r>
          </w:p>
        </w:tc>
        <w:tc>
          <w:tcPr>
            <w:tcW w:type="dxa" w:w="40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Trained on YOUR wins, in YOUR voice</w:t>
            </w:r>
          </w:p>
        </w:tc>
      </w:tr>
      <w:tr>
        <w:tc>
          <w:tcPr>
            <w:tcW w:type="dxa" w:w="2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Mission-driven for-profits and B-corps</w:t>
            </w:r>
          </w:p>
        </w:tc>
        <w:tc>
          <w:tcPr>
            <w:tcW w:type="dxa" w:w="36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RFP responses eat the founder's week</w:t>
            </w:r>
          </w:p>
        </w:tc>
        <w:tc>
          <w:tcPr>
            <w:tcW w:type="dxa" w:w="40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Bid on 5x more contracts without hiring a BD lead</w:t>
            </w:r>
          </w:p>
        </w:tc>
      </w:tr>
      <w:tr>
        <w:tc>
          <w:tcPr>
            <w:tcW w:type="dxa" w:w="2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Small AI/SaaS firms chasing federal</w:t>
            </w:r>
          </w:p>
        </w:tc>
        <w:tc>
          <w:tcPr>
            <w:tcW w:type="dxa" w:w="36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SAM.gov is a labyrinth; SBIRs are full-time</w:t>
            </w:r>
          </w:p>
        </w:tc>
        <w:tc>
          <w:tcPr>
            <w:tcW w:type="dxa" w:w="40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Federal capture pipeline that runs while you build</w:t>
            </w:r>
          </w:p>
        </w:tc>
      </w:tr>
      <w:tr>
        <w:tc>
          <w:tcPr>
            <w:tcW w:type="dxa" w:w="2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Capture consultants and grant agencies</w:t>
            </w:r>
          </w:p>
        </w:tc>
        <w:tc>
          <w:tcPr>
            <w:tcW w:type="dxa" w:w="36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Manage 10 clients with 2 writers</w:t>
            </w:r>
          </w:p>
        </w:tc>
        <w:tc>
          <w:tcPr>
            <w:tcW w:type="dxa" w:w="40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White-label engine; serve 30 clients with the same team</w:t>
            </w:r>
          </w:p>
        </w:tc>
      </w:tr>
    </w:tbl>
    <w:p>
      <w:pPr>
        <w:spacing w:after="120" w:before="120"/>
      </w:pPr>
    </w:p>
    <w:p>
      <w:pPr>
        <w:pStyle w:val="Heading2"/>
        <w:spacing w:after="160" w:before="360"/>
      </w:pPr>
      <w:r>
        <w:rPr>
          <w:rFonts w:ascii="Calibri" w:cs="Calibri" w:eastAsia="Calibri" w:hAnsi="Calibri"/>
          <w:b/>
          <w:bCs/>
          <w:color w:val="0A0E1A"/>
          <w:sz w:val="28"/>
          <w:szCs w:val="28"/>
        </w:rPr>
        <w:t xml:space="preserve">1.4 What makes this defensible</w:t>
      </w:r>
    </w:p>
    <w:p>
      <w:pPr>
        <w:pStyle w:val="ListParagraph"/>
        <w:numPr>
          <w:ilvl w:val="0"/>
          <w:numId w:val="2"/>
        </w:numPr>
        <w:spacing w:after="40" w:before="40" w:line="300"/>
      </w:pPr>
      <w:r>
        <w:rPr>
          <w:rFonts w:ascii="Calibri" w:cs="Calibri" w:eastAsia="Calibri" w:hAnsi="Calibri"/>
          <w:color w:val="1A202C"/>
          <w:sz w:val="22"/>
          <w:szCs w:val="22"/>
        </w:rPr>
        <w:t xml:space="preserve">Voice fingerprinting — your proposals sound like you, not like ChatGPT. This is the single hardest thing for competitors to copy.</w:t>
      </w:r>
    </w:p>
    <w:p>
      <w:pPr>
        <w:pStyle w:val="ListParagraph"/>
        <w:numPr>
          <w:ilvl w:val="0"/>
          <w:numId w:val="2"/>
        </w:numPr>
        <w:spacing w:after="40" w:before="40" w:line="300"/>
      </w:pPr>
      <w:r>
        <w:rPr>
          <w:rFonts w:ascii="Calibri" w:cs="Calibri" w:eastAsia="Calibri" w:hAnsi="Calibri"/>
          <w:color w:val="1A202C"/>
          <w:sz w:val="22"/>
          <w:szCs w:val="22"/>
        </w:rPr>
        <w:t xml:space="preserve">Vault-grounded drafting — every claim cites a real artifact in your vault, with [VERIFY] markers for anything else. Reviewers love this. Generic AI writers cannot offer it.</w:t>
      </w:r>
    </w:p>
    <w:p>
      <w:pPr>
        <w:pStyle w:val="ListParagraph"/>
        <w:numPr>
          <w:ilvl w:val="0"/>
          <w:numId w:val="2"/>
        </w:numPr>
        <w:spacing w:after="40" w:before="40" w:line="300"/>
      </w:pPr>
      <w:r>
        <w:rPr>
          <w:rFonts w:ascii="Calibri" w:cs="Calibri" w:eastAsia="Calibri" w:hAnsi="Calibri"/>
          <w:color w:val="1A202C"/>
          <w:sz w:val="22"/>
          <w:szCs w:val="22"/>
        </w:rPr>
        <w:t xml:space="preserve">Multi-entity native — most competitors assume one nonprofit. We serve consultants, agencies, and dual-mode operators (nonprofit + for-profit arms) on day one.</w:t>
      </w:r>
    </w:p>
    <w:p>
      <w:pPr>
        <w:pStyle w:val="ListParagraph"/>
        <w:numPr>
          <w:ilvl w:val="0"/>
          <w:numId w:val="2"/>
        </w:numPr>
        <w:spacing w:after="40" w:before="40" w:line="300"/>
      </w:pPr>
      <w:r>
        <w:rPr>
          <w:rFonts w:ascii="Calibri" w:cs="Calibri" w:eastAsia="Calibri" w:hAnsi="Calibri"/>
          <w:color w:val="1A202C"/>
          <w:sz w:val="22"/>
          <w:szCs w:val="22"/>
        </w:rPr>
        <w:t xml:space="preserve">Dogfooded by Uplift — every feature gets pressure-tested on real DYCD, DOE, HHS, and HRA submissions before we ship it externally.</w:t>
      </w:r>
    </w:p>
    <w:p>
      <w:pPr>
        <w:pStyle w:val="ListParagraph"/>
        <w:numPr>
          <w:ilvl w:val="0"/>
          <w:numId w:val="2"/>
        </w:numPr>
        <w:spacing w:after="40" w:before="40" w:line="300"/>
      </w:pPr>
      <w:r>
        <w:rPr>
          <w:rFonts w:ascii="Calibri" w:cs="Calibri" w:eastAsia="Calibri" w:hAnsi="Calibri"/>
          <w:color w:val="1A202C"/>
          <w:sz w:val="22"/>
          <w:szCs w:val="22"/>
        </w:rPr>
        <w:t xml:space="preserve">Audit-grade — full agent activity logs for FOIA, OIG, or funder audit. This is a federal-buyer requirement.</w:t>
      </w:r>
    </w:p>
    <w:p>
      <w:pPr>
        <w:pageBreakBefore/>
      </w:pPr>
    </w:p>
    <w:p>
      <w:pPr>
        <w:pStyle w:val="Heading1"/>
        <w:spacing w:after="200" w:before="480"/>
      </w:pPr>
      <w:r>
        <w:rPr>
          <w:rFonts w:ascii="Calibri" w:cs="Calibri" w:eastAsia="Calibri" w:hAnsi="Calibri"/>
          <w:b/>
          <w:bCs/>
          <w:color w:val="0A0E1A"/>
          <w:sz w:val="36"/>
          <w:szCs w:val="36"/>
        </w:rPr>
        <w:t xml:space="preserve">2. Pricing</w:t>
      </w:r>
    </w:p>
    <w:p>
      <w:pPr>
        <w:spacing w:after="120" w:before="80" w:line="320"/>
      </w:pPr>
      <w:r>
        <w:rPr>
          <w:rFonts w:ascii="Calibri" w:cs="Calibri" w:eastAsia="Calibri" w:hAnsi="Calibri"/>
          <w:color w:val="1A202C"/>
          <w:sz w:val="22"/>
          <w:szCs w:val="22"/>
        </w:rPr>
        <w:t xml:space="preserve">The pricing ladder is built so a workforce dev CBO can start at $299, grow into $799 once they win their first grant with the engine, and scale into $2,499 once they staff a capture team. Win fees are optional and become the highest-margin layer.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300"/>
        <w:gridCol w:w="3860"/>
      </w:tblGrid>
      <w:tr>
        <w:tc>
          <w:tcPr>
            <w:tcW w:type="dxa" w:w="1700"/>
            <w:tcBorders>
              <w:top w:val="single" w:color="D4D4D8" w:sz="1"/>
              <w:left w:val="single" w:color="D4D4D8" w:sz="1"/>
              <w:bottom w:val="single" w:color="D4D4D8" w:sz="1"/>
              <w:right w:val="single" w:color="D4D4D8" w:sz="1"/>
            </w:tcBorders>
            <w:shd w:fill="F7F5F0" w:val="clear"/>
            <w:tcMar>
              <w:top w:type="dxa" w:w="120"/>
              <w:left w:type="dxa" w:w="160"/>
              <w:bottom w:type="dxa" w:w="120"/>
              <w:right w:type="dxa" w:w="160"/>
            </w:tcMar>
          </w:tcPr>
          <w:p>
            <w:pPr>
              <w:jc w:val="left"/>
            </w:pPr>
            <w:r>
              <w:rPr>
                <w:rFonts w:ascii="Calibri" w:cs="Calibri" w:eastAsia="Calibri" w:hAnsi="Calibri"/>
                <w:b/>
                <w:bCs/>
                <w:color w:val="1A202C"/>
                <w:sz w:val="20"/>
                <w:szCs w:val="20"/>
              </w:rPr>
              <w:t xml:space="preserve">Plan</w:t>
            </w:r>
          </w:p>
        </w:tc>
        <w:tc>
          <w:tcPr>
            <w:tcW w:type="dxa" w:w="1500"/>
            <w:tcBorders>
              <w:top w:val="single" w:color="D4D4D8" w:sz="1"/>
              <w:left w:val="single" w:color="D4D4D8" w:sz="1"/>
              <w:bottom w:val="single" w:color="D4D4D8" w:sz="1"/>
              <w:right w:val="single" w:color="D4D4D8" w:sz="1"/>
            </w:tcBorders>
            <w:shd w:fill="F7F5F0" w:val="clear"/>
            <w:tcMar>
              <w:top w:type="dxa" w:w="120"/>
              <w:left w:type="dxa" w:w="160"/>
              <w:bottom w:type="dxa" w:w="120"/>
              <w:right w:type="dxa" w:w="160"/>
            </w:tcMar>
          </w:tcPr>
          <w:p>
            <w:pPr>
              <w:jc w:val="left"/>
            </w:pPr>
            <w:r>
              <w:rPr>
                <w:rFonts w:ascii="Calibri" w:cs="Calibri" w:eastAsia="Calibri" w:hAnsi="Calibri"/>
                <w:b/>
                <w:bCs/>
                <w:color w:val="1A202C"/>
                <w:sz w:val="20"/>
                <w:szCs w:val="20"/>
              </w:rPr>
              <w:t xml:space="preserve">Price</w:t>
            </w:r>
          </w:p>
        </w:tc>
        <w:tc>
          <w:tcPr>
            <w:tcW w:type="dxa" w:w="3300"/>
            <w:tcBorders>
              <w:top w:val="single" w:color="D4D4D8" w:sz="1"/>
              <w:left w:val="single" w:color="D4D4D8" w:sz="1"/>
              <w:bottom w:val="single" w:color="D4D4D8" w:sz="1"/>
              <w:right w:val="single" w:color="D4D4D8" w:sz="1"/>
            </w:tcBorders>
            <w:shd w:fill="F7F5F0" w:val="clear"/>
            <w:tcMar>
              <w:top w:type="dxa" w:w="120"/>
              <w:left w:type="dxa" w:w="160"/>
              <w:bottom w:type="dxa" w:w="120"/>
              <w:right w:type="dxa" w:w="160"/>
            </w:tcMar>
          </w:tcPr>
          <w:p>
            <w:pPr>
              <w:jc w:val="left"/>
            </w:pPr>
            <w:r>
              <w:rPr>
                <w:rFonts w:ascii="Calibri" w:cs="Calibri" w:eastAsia="Calibri" w:hAnsi="Calibri"/>
                <w:b/>
                <w:bCs/>
                <w:color w:val="1A202C"/>
                <w:sz w:val="20"/>
                <w:szCs w:val="20"/>
              </w:rPr>
              <w:t xml:space="preserve">Built for</w:t>
            </w:r>
          </w:p>
        </w:tc>
        <w:tc>
          <w:tcPr>
            <w:tcW w:type="dxa" w:w="3860"/>
            <w:tcBorders>
              <w:top w:val="single" w:color="D4D4D8" w:sz="1"/>
              <w:left w:val="single" w:color="D4D4D8" w:sz="1"/>
              <w:bottom w:val="single" w:color="D4D4D8" w:sz="1"/>
              <w:right w:val="single" w:color="D4D4D8" w:sz="1"/>
            </w:tcBorders>
            <w:shd w:fill="F7F5F0" w:val="clear"/>
            <w:tcMar>
              <w:top w:type="dxa" w:w="120"/>
              <w:left w:type="dxa" w:w="160"/>
              <w:bottom w:type="dxa" w:w="120"/>
              <w:right w:type="dxa" w:w="160"/>
            </w:tcMar>
          </w:tcPr>
          <w:p>
            <w:pPr>
              <w:jc w:val="left"/>
            </w:pPr>
            <w:r>
              <w:rPr>
                <w:rFonts w:ascii="Calibri" w:cs="Calibri" w:eastAsia="Calibri" w:hAnsi="Calibri"/>
                <w:b/>
                <w:bCs/>
                <w:color w:val="1A202C"/>
                <w:sz w:val="20"/>
                <w:szCs w:val="20"/>
              </w:rPr>
              <w:t xml:space="preserve">What's included</w:t>
            </w:r>
          </w:p>
        </w:tc>
      </w:tr>
      <w:tr>
        <w:tc>
          <w:tcPr>
            <w:tcW w:type="dxa" w:w="1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Starter</w:t>
            </w:r>
          </w:p>
        </w:tc>
        <w:tc>
          <w:tcPr>
            <w:tcW w:type="dxa" w:w="15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$299/mo</w:t>
            </w:r>
          </w:p>
        </w:tc>
        <w:tc>
          <w:tcPr>
            <w:tcW w:type="dxa" w:w="33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Solo founders, EDs, single-writer shops</w:t>
            </w:r>
          </w:p>
        </w:tc>
        <w:tc>
          <w:tcPr>
            <w:tcW w:type="dxa" w:w="38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1 user, 1 org, Discovery feed, 5 drafts/mo, voice training on 10 vault docs</w:t>
            </w:r>
          </w:p>
        </w:tc>
      </w:tr>
      <w:tr>
        <w:tc>
          <w:tcPr>
            <w:tcW w:type="dxa" w:w="1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Pro</w:t>
            </w:r>
          </w:p>
        </w:tc>
        <w:tc>
          <w:tcPr>
            <w:tcW w:type="dxa" w:w="15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$799/mo</w:t>
            </w:r>
          </w:p>
        </w:tc>
        <w:tc>
          <w:tcPr>
            <w:tcW w:type="dxa" w:w="33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Established nonprofits or for-profits running active capture</w:t>
            </w:r>
          </w:p>
        </w:tc>
        <w:tc>
          <w:tcPr>
            <w:tcW w:type="dxa" w:w="38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5 users, 1 org, unlimited Discovery, 25 drafts/mo, Reviewer agent, Compliance agent, full vault, Slack/Teams notifications</w:t>
            </w:r>
          </w:p>
        </w:tc>
      </w:tr>
      <w:tr>
        <w:tc>
          <w:tcPr>
            <w:tcW w:type="dxa" w:w="1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Agency</w:t>
            </w:r>
          </w:p>
        </w:tc>
        <w:tc>
          <w:tcPr>
            <w:tcW w:type="dxa" w:w="15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$2,499/mo</w:t>
            </w:r>
          </w:p>
        </w:tc>
        <w:tc>
          <w:tcPr>
            <w:tcW w:type="dxa" w:w="33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Consultants, fiscal sponsors, capture firms with multiple clients</w:t>
            </w:r>
          </w:p>
        </w:tc>
        <w:tc>
          <w:tcPr>
            <w:tcW w:type="dxa" w:w="38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Unlimited users, up to 15 client orgs, white-label exports, client billing dashboard, priority support</w:t>
            </w:r>
          </w:p>
        </w:tc>
      </w:tr>
      <w:tr>
        <w:tc>
          <w:tcPr>
            <w:tcW w:type="dxa" w:w="1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Enterprise</w:t>
            </w:r>
          </w:p>
        </w:tc>
        <w:tc>
          <w:tcPr>
            <w:tcW w:type="dxa" w:w="15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$25K-$75K/yr</w:t>
            </w:r>
          </w:p>
        </w:tc>
        <w:tc>
          <w:tcPr>
            <w:tcW w:type="dxa" w:w="33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Large CBOs, hospital systems, workforce boards, federal contractors</w:t>
            </w:r>
          </w:p>
        </w:tc>
        <w:tc>
          <w:tcPr>
            <w:tcW w:type="dxa" w:w="38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Unlimited orgs and users, dedicated infrastructure, SOC 2 docs, named CSM, custom integrations</w:t>
            </w:r>
          </w:p>
        </w:tc>
      </w:tr>
    </w:tbl>
    <w:p>
      <w:pPr>
        <w:spacing w:after="120" w:before="120"/>
      </w:pPr>
    </w:p>
    <w:p>
      <w:pPr>
        <w:pStyle w:val="Heading2"/>
        <w:spacing w:after="160" w:before="360"/>
      </w:pPr>
      <w:r>
        <w:rPr>
          <w:rFonts w:ascii="Calibri" w:cs="Calibri" w:eastAsia="Calibri" w:hAnsi="Calibri"/>
          <w:b/>
          <w:bCs/>
          <w:color w:val="0A0E1A"/>
          <w:sz w:val="28"/>
          <w:szCs w:val="28"/>
        </w:rPr>
        <w:t xml:space="preserve">2.1 Win Fee Add-On</w:t>
      </w:r>
    </w:p>
    <w:p>
      <w:pPr>
        <w:spacing w:after="120" w:before="80" w:line="320"/>
      </w:pPr>
      <w:r>
        <w:rPr>
          <w:rFonts w:ascii="Calibri" w:cs="Calibri" w:eastAsia="Calibri" w:hAnsi="Calibri"/>
          <w:color w:val="1A202C"/>
          <w:sz w:val="22"/>
          <w:szCs w:val="22"/>
        </w:rPr>
        <w:t xml:space="preserve">Optional. 1-3% of awarded amount on grants and contracts over $250K, capped at $50K per award. The customer toggles this on at any tier; in exchange they get priority Reviewer time and a dedicated capture strategist for the bid. This converts the engine from a tool into a partner and is the path to $5M+ deals with single customers.</w:t>
      </w:r>
    </w:p>
    <w:p>
      <w:pPr>
        <w:pStyle w:val="Heading2"/>
        <w:spacing w:after="160" w:before="360"/>
      </w:pPr>
      <w:r>
        <w:rPr>
          <w:rFonts w:ascii="Calibri" w:cs="Calibri" w:eastAsia="Calibri" w:hAnsi="Calibri"/>
          <w:b/>
          <w:bCs/>
          <w:color w:val="0A0E1A"/>
          <w:sz w:val="28"/>
          <w:szCs w:val="28"/>
        </w:rPr>
        <w:t xml:space="preserve">2.2 The path to $20M ARR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700"/>
        <w:gridCol w:w="2760"/>
      </w:tblGrid>
      <w:tr>
        <w:tc>
          <w:tcPr>
            <w:tcW w:type="dxa" w:w="2700"/>
            <w:tcBorders>
              <w:top w:val="single" w:color="D4D4D8" w:sz="1"/>
              <w:left w:val="single" w:color="D4D4D8" w:sz="1"/>
              <w:bottom w:val="single" w:color="D4D4D8" w:sz="1"/>
              <w:right w:val="single" w:color="D4D4D8" w:sz="1"/>
            </w:tcBorders>
            <w:shd w:fill="F7F5F0" w:val="clear"/>
            <w:tcMar>
              <w:top w:type="dxa" w:w="120"/>
              <w:left w:type="dxa" w:w="160"/>
              <w:bottom w:type="dxa" w:w="120"/>
              <w:right w:type="dxa" w:w="160"/>
            </w:tcMar>
          </w:tcPr>
          <w:p>
            <w:pPr>
              <w:jc w:val="left"/>
            </w:pPr>
            <w:r>
              <w:rPr>
                <w:rFonts w:ascii="Calibri" w:cs="Calibri" w:eastAsia="Calibri" w:hAnsi="Calibri"/>
                <w:b/>
                <w:bCs/>
                <w:color w:val="1A202C"/>
                <w:sz w:val="20"/>
                <w:szCs w:val="20"/>
              </w:rPr>
              <w:t xml:space="preserve">Tier</w:t>
            </w:r>
          </w:p>
        </w:tc>
        <w:tc>
          <w:tcPr>
            <w:tcW w:type="dxa" w:w="2200"/>
            <w:tcBorders>
              <w:top w:val="single" w:color="D4D4D8" w:sz="1"/>
              <w:left w:val="single" w:color="D4D4D8" w:sz="1"/>
              <w:bottom w:val="single" w:color="D4D4D8" w:sz="1"/>
              <w:right w:val="single" w:color="D4D4D8" w:sz="1"/>
            </w:tcBorders>
            <w:shd w:fill="F7F5F0" w:val="clear"/>
            <w:tcMar>
              <w:top w:type="dxa" w:w="120"/>
              <w:left w:type="dxa" w:w="160"/>
              <w:bottom w:type="dxa" w:w="120"/>
              <w:right w:type="dxa" w:w="160"/>
            </w:tcMar>
          </w:tcPr>
          <w:p>
            <w:pPr>
              <w:jc w:val="left"/>
            </w:pPr>
            <w:r>
              <w:rPr>
                <w:rFonts w:ascii="Calibri" w:cs="Calibri" w:eastAsia="Calibri" w:hAnsi="Calibri"/>
                <w:b/>
                <w:bCs/>
                <w:color w:val="1A202C"/>
                <w:sz w:val="20"/>
                <w:szCs w:val="20"/>
              </w:rPr>
              <w:t xml:space="preserve">Customers</w:t>
            </w:r>
          </w:p>
        </w:tc>
        <w:tc>
          <w:tcPr>
            <w:tcW w:type="dxa" w:w="2700"/>
            <w:tcBorders>
              <w:top w:val="single" w:color="D4D4D8" w:sz="1"/>
              <w:left w:val="single" w:color="D4D4D8" w:sz="1"/>
              <w:bottom w:val="single" w:color="D4D4D8" w:sz="1"/>
              <w:right w:val="single" w:color="D4D4D8" w:sz="1"/>
            </w:tcBorders>
            <w:shd w:fill="F7F5F0" w:val="clear"/>
            <w:tcMar>
              <w:top w:type="dxa" w:w="120"/>
              <w:left w:type="dxa" w:w="160"/>
              <w:bottom w:type="dxa" w:w="120"/>
              <w:right w:type="dxa" w:w="160"/>
            </w:tcMar>
          </w:tcPr>
          <w:p>
            <w:pPr>
              <w:jc w:val="left"/>
            </w:pPr>
            <w:r>
              <w:rPr>
                <w:rFonts w:ascii="Calibri" w:cs="Calibri" w:eastAsia="Calibri" w:hAnsi="Calibri"/>
                <w:b/>
                <w:bCs/>
                <w:color w:val="1A202C"/>
                <w:sz w:val="20"/>
                <w:szCs w:val="20"/>
              </w:rPr>
              <w:t xml:space="preserve">Monthly</w:t>
            </w:r>
          </w:p>
        </w:tc>
        <w:tc>
          <w:tcPr>
            <w:tcW w:type="dxa" w:w="2760"/>
            <w:tcBorders>
              <w:top w:val="single" w:color="D4D4D8" w:sz="1"/>
              <w:left w:val="single" w:color="D4D4D8" w:sz="1"/>
              <w:bottom w:val="single" w:color="D4D4D8" w:sz="1"/>
              <w:right w:val="single" w:color="D4D4D8" w:sz="1"/>
            </w:tcBorders>
            <w:shd w:fill="F7F5F0" w:val="clear"/>
            <w:tcMar>
              <w:top w:type="dxa" w:w="120"/>
              <w:left w:type="dxa" w:w="160"/>
              <w:bottom w:type="dxa" w:w="120"/>
              <w:right w:type="dxa" w:w="160"/>
            </w:tcMar>
          </w:tcPr>
          <w:p>
            <w:pPr>
              <w:jc w:val="left"/>
            </w:pPr>
            <w:r>
              <w:rPr>
                <w:rFonts w:ascii="Calibri" w:cs="Calibri" w:eastAsia="Calibri" w:hAnsi="Calibri"/>
                <w:b/>
                <w:bCs/>
                <w:color w:val="1A202C"/>
                <w:sz w:val="20"/>
                <w:szCs w:val="20"/>
              </w:rPr>
              <w:t xml:space="preserve">Annual</w:t>
            </w:r>
          </w:p>
        </w:tc>
      </w:tr>
      <w:tr>
        <w:tc>
          <w:tcPr>
            <w:tcW w:type="dxa" w:w="2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Starter</w:t>
            </w:r>
          </w:p>
        </w:tc>
        <w:tc>
          <w:tcPr>
            <w:tcW w:type="dxa" w:w="22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1,500</w:t>
            </w:r>
          </w:p>
        </w:tc>
        <w:tc>
          <w:tcPr>
            <w:tcW w:type="dxa" w:w="2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$448K</w:t>
            </w:r>
          </w:p>
        </w:tc>
        <w:tc>
          <w:tcPr>
            <w:tcW w:type="dxa" w:w="27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$5.4M</w:t>
            </w:r>
          </w:p>
        </w:tc>
      </w:tr>
      <w:tr>
        <w:tc>
          <w:tcPr>
            <w:tcW w:type="dxa" w:w="2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Pro</w:t>
            </w:r>
          </w:p>
        </w:tc>
        <w:tc>
          <w:tcPr>
            <w:tcW w:type="dxa" w:w="22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1,200</w:t>
            </w:r>
          </w:p>
        </w:tc>
        <w:tc>
          <w:tcPr>
            <w:tcW w:type="dxa" w:w="2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$959K</w:t>
            </w:r>
          </w:p>
        </w:tc>
        <w:tc>
          <w:tcPr>
            <w:tcW w:type="dxa" w:w="27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$11.5M</w:t>
            </w:r>
          </w:p>
        </w:tc>
      </w:tr>
      <w:tr>
        <w:tc>
          <w:tcPr>
            <w:tcW w:type="dxa" w:w="2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Agency</w:t>
            </w:r>
          </w:p>
        </w:tc>
        <w:tc>
          <w:tcPr>
            <w:tcW w:type="dxa" w:w="22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150</w:t>
            </w:r>
          </w:p>
        </w:tc>
        <w:tc>
          <w:tcPr>
            <w:tcW w:type="dxa" w:w="2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$375K</w:t>
            </w:r>
          </w:p>
        </w:tc>
        <w:tc>
          <w:tcPr>
            <w:tcW w:type="dxa" w:w="27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$4.5M</w:t>
            </w:r>
          </w:p>
        </w:tc>
      </w:tr>
      <w:tr>
        <w:tc>
          <w:tcPr>
            <w:tcW w:type="dxa" w:w="2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Enterprise</w:t>
            </w:r>
          </w:p>
        </w:tc>
        <w:tc>
          <w:tcPr>
            <w:tcW w:type="dxa" w:w="22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30</w:t>
            </w:r>
          </w:p>
        </w:tc>
        <w:tc>
          <w:tcPr>
            <w:tcW w:type="dxa" w:w="2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$125K avg</w:t>
            </w:r>
          </w:p>
        </w:tc>
        <w:tc>
          <w:tcPr>
            <w:tcW w:type="dxa" w:w="27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$1.5M</w:t>
            </w:r>
          </w:p>
        </w:tc>
      </w:tr>
      <w:tr>
        <w:tc>
          <w:tcPr>
            <w:tcW w:type="dxa" w:w="2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Win fees (modest)</w:t>
            </w:r>
          </w:p>
        </w:tc>
        <w:tc>
          <w:tcPr>
            <w:tcW w:type="dxa" w:w="22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w:t>
            </w:r>
          </w:p>
        </w:tc>
        <w:tc>
          <w:tcPr>
            <w:tcW w:type="dxa" w:w="2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w:t>
            </w:r>
          </w:p>
        </w:tc>
        <w:tc>
          <w:tcPr>
            <w:tcW w:type="dxa" w:w="27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$2.0M</w:t>
            </w:r>
          </w:p>
        </w:tc>
      </w:tr>
      <w:tr>
        <w:tc>
          <w:tcPr>
            <w:tcW w:type="dxa" w:w="2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TOTAL</w:t>
            </w:r>
          </w:p>
        </w:tc>
        <w:tc>
          <w:tcPr>
            <w:tcW w:type="dxa" w:w="22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2,880</w:t>
            </w:r>
          </w:p>
        </w:tc>
        <w:tc>
          <w:tcPr>
            <w:tcW w:type="dxa" w:w="2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w:t>
            </w:r>
          </w:p>
        </w:tc>
        <w:tc>
          <w:tcPr>
            <w:tcW w:type="dxa" w:w="27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~$25M</w:t>
            </w:r>
          </w:p>
        </w:tc>
      </w:tr>
    </w:tbl>
    <w:p>
      <w:pPr>
        <w:spacing w:after="120" w:before="80" w:line="320"/>
      </w:pPr>
      <w:r>
        <w:rPr>
          <w:rFonts w:ascii="Calibri" w:cs="Calibri" w:eastAsia="Calibri" w:hAnsi="Calibri"/>
          <w:color w:val="1A202C"/>
          <w:sz w:val="22"/>
          <w:szCs w:val="22"/>
        </w:rPr>
        <w:t xml:space="preserve">Conservative compared to comparable verticals. Grant management software (Submittable, Bonterra, Instrumentl) collectively serves over 80,000 organizations. Capturing 3.5% of that base is a defensible early position.</w:t>
      </w:r>
    </w:p>
    <w:p>
      <w:pPr>
        <w:pageBreakBefore/>
      </w:pPr>
    </w:p>
    <w:p>
      <w:pPr>
        <w:pStyle w:val="Heading1"/>
        <w:spacing w:after="200" w:before="480"/>
      </w:pPr>
      <w:r>
        <w:rPr>
          <w:rFonts w:ascii="Calibri" w:cs="Calibri" w:eastAsia="Calibri" w:hAnsi="Calibri"/>
          <w:b/>
          <w:bCs/>
          <w:color w:val="0A0E1A"/>
          <w:sz w:val="36"/>
          <w:szCs w:val="36"/>
        </w:rPr>
        <w:t xml:space="preserve">3. Competitive Landscape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4660"/>
      </w:tblGrid>
      <w:tr>
        <w:tc>
          <w:tcPr>
            <w:tcW w:type="dxa" w:w="2400"/>
            <w:tcBorders>
              <w:top w:val="single" w:color="D4D4D8" w:sz="1"/>
              <w:left w:val="single" w:color="D4D4D8" w:sz="1"/>
              <w:bottom w:val="single" w:color="D4D4D8" w:sz="1"/>
              <w:right w:val="single" w:color="D4D4D8" w:sz="1"/>
            </w:tcBorders>
            <w:shd w:fill="F7F5F0" w:val="clear"/>
            <w:tcMar>
              <w:top w:type="dxa" w:w="120"/>
              <w:left w:type="dxa" w:w="160"/>
              <w:bottom w:type="dxa" w:w="120"/>
              <w:right w:type="dxa" w:w="160"/>
            </w:tcMar>
          </w:tcPr>
          <w:p>
            <w:pPr>
              <w:jc w:val="left"/>
            </w:pPr>
            <w:r>
              <w:rPr>
                <w:rFonts w:ascii="Calibri" w:cs="Calibri" w:eastAsia="Calibri" w:hAnsi="Calibri"/>
                <w:b/>
                <w:bCs/>
                <w:color w:val="1A202C"/>
                <w:sz w:val="20"/>
                <w:szCs w:val="20"/>
              </w:rPr>
              <w:t xml:space="preserve">Competitor</w:t>
            </w:r>
          </w:p>
        </w:tc>
        <w:tc>
          <w:tcPr>
            <w:tcW w:type="dxa" w:w="3300"/>
            <w:tcBorders>
              <w:top w:val="single" w:color="D4D4D8" w:sz="1"/>
              <w:left w:val="single" w:color="D4D4D8" w:sz="1"/>
              <w:bottom w:val="single" w:color="D4D4D8" w:sz="1"/>
              <w:right w:val="single" w:color="D4D4D8" w:sz="1"/>
            </w:tcBorders>
            <w:shd w:fill="F7F5F0" w:val="clear"/>
            <w:tcMar>
              <w:top w:type="dxa" w:w="120"/>
              <w:left w:type="dxa" w:w="160"/>
              <w:bottom w:type="dxa" w:w="120"/>
              <w:right w:type="dxa" w:w="160"/>
            </w:tcMar>
          </w:tcPr>
          <w:p>
            <w:pPr>
              <w:jc w:val="left"/>
            </w:pPr>
            <w:r>
              <w:rPr>
                <w:rFonts w:ascii="Calibri" w:cs="Calibri" w:eastAsia="Calibri" w:hAnsi="Calibri"/>
                <w:b/>
                <w:bCs/>
                <w:color w:val="1A202C"/>
                <w:sz w:val="20"/>
                <w:szCs w:val="20"/>
              </w:rPr>
              <w:t xml:space="preserve">What they are</w:t>
            </w:r>
          </w:p>
        </w:tc>
        <w:tc>
          <w:tcPr>
            <w:tcW w:type="dxa" w:w="4660"/>
            <w:tcBorders>
              <w:top w:val="single" w:color="D4D4D8" w:sz="1"/>
              <w:left w:val="single" w:color="D4D4D8" w:sz="1"/>
              <w:bottom w:val="single" w:color="D4D4D8" w:sz="1"/>
              <w:right w:val="single" w:color="D4D4D8" w:sz="1"/>
            </w:tcBorders>
            <w:shd w:fill="F7F5F0" w:val="clear"/>
            <w:tcMar>
              <w:top w:type="dxa" w:w="120"/>
              <w:left w:type="dxa" w:w="160"/>
              <w:bottom w:type="dxa" w:w="120"/>
              <w:right w:type="dxa" w:w="160"/>
            </w:tcMar>
          </w:tcPr>
          <w:p>
            <w:pPr>
              <w:jc w:val="left"/>
            </w:pPr>
            <w:r>
              <w:rPr>
                <w:rFonts w:ascii="Calibri" w:cs="Calibri" w:eastAsia="Calibri" w:hAnsi="Calibri"/>
                <w:b/>
                <w:bCs/>
                <w:color w:val="1A202C"/>
                <w:sz w:val="20"/>
                <w:szCs w:val="20"/>
              </w:rPr>
              <w:t xml:space="preserve">Where they fall short</w:t>
            </w:r>
          </w:p>
        </w:tc>
      </w:tr>
      <w:tr>
        <w:tc>
          <w:tcPr>
            <w:tcW w:type="dxa" w:w="24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Instrumentl</w:t>
            </w:r>
          </w:p>
        </w:tc>
        <w:tc>
          <w:tcPr>
            <w:tcW w:type="dxa" w:w="33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Grant database with funder matching</w:t>
            </w:r>
          </w:p>
        </w:tc>
        <w:tc>
          <w:tcPr>
            <w:tcW w:type="dxa" w:w="46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No drafting. Just discovery. Org has to write everything.</w:t>
            </w:r>
          </w:p>
        </w:tc>
      </w:tr>
      <w:tr>
        <w:tc>
          <w:tcPr>
            <w:tcW w:type="dxa" w:w="24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GrantStation / Foundation Directory</w:t>
            </w:r>
          </w:p>
        </w:tc>
        <w:tc>
          <w:tcPr>
            <w:tcW w:type="dxa" w:w="33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Grant database</w:t>
            </w:r>
          </w:p>
        </w:tc>
        <w:tc>
          <w:tcPr>
            <w:tcW w:type="dxa" w:w="46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Same as above; weaker on federal.</w:t>
            </w:r>
          </w:p>
        </w:tc>
      </w:tr>
      <w:tr>
        <w:tc>
          <w:tcPr>
            <w:tcW w:type="dxa" w:w="24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GovWin / Bloomberg Government</w:t>
            </w:r>
          </w:p>
        </w:tc>
        <w:tc>
          <w:tcPr>
            <w:tcW w:type="dxa" w:w="33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Federal contract intelligence</w:t>
            </w:r>
          </w:p>
        </w:tc>
        <w:tc>
          <w:tcPr>
            <w:tcW w:type="dxa" w:w="46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Enterprise pricing ($15K+/yr); no drafting; for-profit only.</w:t>
            </w:r>
          </w:p>
        </w:tc>
      </w:tr>
      <w:tr>
        <w:tc>
          <w:tcPr>
            <w:tcW w:type="dxa" w:w="24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Submittable / Bonterra</w:t>
            </w:r>
          </w:p>
        </w:tc>
        <w:tc>
          <w:tcPr>
            <w:tcW w:type="dxa" w:w="33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Grant management workflow</w:t>
            </w:r>
          </w:p>
        </w:tc>
        <w:tc>
          <w:tcPr>
            <w:tcW w:type="dxa" w:w="46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For grantmakers, not seekers. Different customer.</w:t>
            </w:r>
          </w:p>
        </w:tc>
      </w:tr>
      <w:tr>
        <w:tc>
          <w:tcPr>
            <w:tcW w:type="dxa" w:w="24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Generic AI (ChatGPT, Claude direct)</w:t>
            </w:r>
          </w:p>
        </w:tc>
        <w:tc>
          <w:tcPr>
            <w:tcW w:type="dxa" w:w="33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General-purpose writing</w:t>
            </w:r>
          </w:p>
        </w:tc>
        <w:tc>
          <w:tcPr>
            <w:tcW w:type="dxa" w:w="46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No voice training, no vault, no compliance, no audit log.</w:t>
            </w:r>
          </w:p>
        </w:tc>
      </w:tr>
      <w:tr>
        <w:tc>
          <w:tcPr>
            <w:tcW w:type="dxa" w:w="24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Capture consultants ($150-$400/hr)</w:t>
            </w:r>
          </w:p>
        </w:tc>
        <w:tc>
          <w:tcPr>
            <w:tcW w:type="dxa" w:w="33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Human capture-as-a-service</w:t>
            </w:r>
          </w:p>
        </w:tc>
        <w:tc>
          <w:tcPr>
            <w:tcW w:type="dxa" w:w="46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Doesn't scale. Missed opportunities while waiting on humans.</w:t>
            </w:r>
          </w:p>
        </w:tc>
      </w:tr>
      <w:tr>
        <w:tc>
          <w:tcPr>
            <w:tcW w:type="dxa" w:w="24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Perpetual Core RFP &amp; Proposal Engine</w:t>
            </w:r>
          </w:p>
        </w:tc>
        <w:tc>
          <w:tcPr>
            <w:tcW w:type="dxa" w:w="33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AI-native capture ops platform</w:t>
            </w:r>
          </w:p>
        </w:tc>
        <w:tc>
          <w:tcPr>
            <w:tcW w:type="dxa" w:w="46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We are the only product combining discovery, voice-trained drafting, reviewer agent, and compliance, multi-entity, audit-grade.</w:t>
            </w:r>
          </w:p>
        </w:tc>
      </w:tr>
    </w:tbl>
    <w:p>
      <w:pPr>
        <w:pageBreakBefore/>
      </w:pPr>
    </w:p>
    <w:p>
      <w:pPr>
        <w:pStyle w:val="Heading1"/>
        <w:spacing w:after="200" w:before="480"/>
      </w:pPr>
      <w:r>
        <w:rPr>
          <w:rFonts w:ascii="Calibri" w:cs="Calibri" w:eastAsia="Calibri" w:hAnsi="Calibri"/>
          <w:b/>
          <w:bCs/>
          <w:color w:val="0A0E1A"/>
          <w:sz w:val="36"/>
          <w:szCs w:val="36"/>
        </w:rPr>
        <w:t xml:space="preserve">4. Go-to-Market Motion</w:t>
      </w:r>
    </w:p>
    <w:p>
      <w:pPr>
        <w:pStyle w:val="Heading2"/>
        <w:spacing w:after="160" w:before="360"/>
      </w:pPr>
      <w:r>
        <w:rPr>
          <w:rFonts w:ascii="Calibri" w:cs="Calibri" w:eastAsia="Calibri" w:hAnsi="Calibri"/>
          <w:b/>
          <w:bCs/>
          <w:color w:val="0A0E1A"/>
          <w:sz w:val="28"/>
          <w:szCs w:val="28"/>
        </w:rPr>
        <w:t xml:space="preserve">4.1 Phase 1: Dogfood and case study (Days 1-90)</w:t>
      </w:r>
    </w:p>
    <w:p>
      <w:pPr>
        <w:spacing w:after="120" w:before="80" w:line="320"/>
      </w:pPr>
      <w:r>
        <w:rPr>
          <w:rFonts w:ascii="Calibri" w:cs="Calibri" w:eastAsia="Calibri" w:hAnsi="Calibri"/>
          <w:color w:val="1A202C"/>
          <w:sz w:val="22"/>
          <w:szCs w:val="22"/>
        </w:rPr>
        <w:t xml:space="preserve">Before any external selling, the engine wins real grants for Uplift Communities, IHA, and The Perpetual Core. Target submissions in this window:</w:t>
      </w:r>
    </w:p>
    <w:p>
      <w:pPr>
        <w:pStyle w:val="ListParagraph"/>
        <w:numPr>
          <w:ilvl w:val="0"/>
          <w:numId w:val="2"/>
        </w:numPr>
        <w:spacing w:after="40" w:before="40" w:line="300"/>
      </w:pPr>
      <w:r>
        <w:rPr>
          <w:rFonts w:ascii="Calibri" w:cs="Calibri" w:eastAsia="Calibri" w:hAnsi="Calibri"/>
          <w:color w:val="1A202C"/>
          <w:sz w:val="22"/>
          <w:szCs w:val="22"/>
        </w:rPr>
        <w:t xml:space="preserve">NYC DYCD Bridge to Health Careers — Uplift incumbent-adjacent, $650K/year x 3</w:t>
      </w:r>
    </w:p>
    <w:p>
      <w:pPr>
        <w:pStyle w:val="ListParagraph"/>
        <w:numPr>
          <w:ilvl w:val="0"/>
          <w:numId w:val="2"/>
        </w:numPr>
        <w:spacing w:after="40" w:before="40" w:line="300"/>
      </w:pPr>
      <w:r>
        <w:rPr>
          <w:rFonts w:ascii="Calibri" w:cs="Calibri" w:eastAsia="Calibri" w:hAnsi="Calibri"/>
          <w:color w:val="1A202C"/>
          <w:sz w:val="22"/>
          <w:szCs w:val="22"/>
        </w:rPr>
        <w:t xml:space="preserve">HHS Healthcare Workforce Resilience — Uplift, $2.4M ceiling</w:t>
      </w:r>
    </w:p>
    <w:p>
      <w:pPr>
        <w:pStyle w:val="ListParagraph"/>
        <w:numPr>
          <w:ilvl w:val="0"/>
          <w:numId w:val="2"/>
        </w:numPr>
        <w:spacing w:after="40" w:before="40" w:line="300"/>
      </w:pPr>
      <w:r>
        <w:rPr>
          <w:rFonts w:ascii="Calibri" w:cs="Calibri" w:eastAsia="Calibri" w:hAnsi="Calibri"/>
          <w:color w:val="1A202C"/>
          <w:sz w:val="22"/>
          <w:szCs w:val="22"/>
        </w:rPr>
        <w:t xml:space="preserve">Robert Wood Johnson Foundation Health Equity Innovation — IHA, $500K</w:t>
      </w:r>
    </w:p>
    <w:p>
      <w:pPr>
        <w:pStyle w:val="ListParagraph"/>
        <w:numPr>
          <w:ilvl w:val="0"/>
          <w:numId w:val="2"/>
        </w:numPr>
        <w:spacing w:after="40" w:before="40" w:line="300"/>
      </w:pPr>
      <w:r>
        <w:rPr>
          <w:rFonts w:ascii="Calibri" w:cs="Calibri" w:eastAsia="Calibri" w:hAnsi="Calibri"/>
          <w:color w:val="1A202C"/>
          <w:sz w:val="22"/>
          <w:szCs w:val="22"/>
        </w:rPr>
        <w:t xml:space="preserve">US Department of Education AI in K-12 Pilot — IHA, $1.8M</w:t>
      </w:r>
    </w:p>
    <w:p>
      <w:pPr>
        <w:pStyle w:val="ListParagraph"/>
        <w:numPr>
          <w:ilvl w:val="0"/>
          <w:numId w:val="2"/>
        </w:numPr>
        <w:spacing w:after="40" w:before="40" w:line="300"/>
      </w:pPr>
      <w:r>
        <w:rPr>
          <w:rFonts w:ascii="Calibri" w:cs="Calibri" w:eastAsia="Calibri" w:hAnsi="Calibri"/>
          <w:color w:val="1A202C"/>
          <w:sz w:val="22"/>
          <w:szCs w:val="22"/>
        </w:rPr>
        <w:t xml:space="preserve">NSF SBIR Phase I AI for Education — Perpetual Core, $305K</w:t>
      </w:r>
    </w:p>
    <w:p>
      <w:pPr>
        <w:spacing w:after="120" w:before="80" w:line="320"/>
      </w:pPr>
      <w:r>
        <w:rPr>
          <w:rFonts w:ascii="Calibri" w:cs="Calibri" w:eastAsia="Calibri" w:hAnsi="Calibri"/>
          <w:color w:val="1A202C"/>
          <w:sz w:val="22"/>
          <w:szCs w:val="22"/>
        </w:rPr>
        <w:t xml:space="preserve">Even a 30-40% win rate on this slate produces $1.5M-$3M in fresh contract revenue and a launch case study no competitor can match.</w:t>
      </w:r>
    </w:p>
    <w:p>
      <w:pPr>
        <w:pStyle w:val="Heading2"/>
        <w:spacing w:after="160" w:before="360"/>
      </w:pPr>
      <w:r>
        <w:rPr>
          <w:rFonts w:ascii="Calibri" w:cs="Calibri" w:eastAsia="Calibri" w:hAnsi="Calibri"/>
          <w:b/>
          <w:bCs/>
          <w:color w:val="0A0E1A"/>
          <w:sz w:val="28"/>
          <w:szCs w:val="28"/>
        </w:rPr>
        <w:t xml:space="preserve">4.2 Phase 2: Design partner cohort (Days 60-120)</w:t>
      </w:r>
    </w:p>
    <w:p>
      <w:pPr>
        <w:spacing w:after="120" w:before="80" w:line="320"/>
      </w:pPr>
      <w:r>
        <w:rPr>
          <w:rFonts w:ascii="Calibri" w:cs="Calibri" w:eastAsia="Calibri" w:hAnsi="Calibri"/>
          <w:color w:val="1A202C"/>
          <w:sz w:val="22"/>
          <w:szCs w:val="22"/>
        </w:rPr>
        <w:t xml:space="preserve">Recruit 15 design partners through Lorenzo's network: NAN ecosystem, KCC Foundation board, Daughtry network, faith-based CBOs, IHA partners, Seton Hall practicum referrals. Free 60-day Pro access in exchange for case study rights and feedback. Goal: 3 published case studies before public launch.</w:t>
      </w:r>
    </w:p>
    <w:p>
      <w:pPr>
        <w:pStyle w:val="Heading2"/>
        <w:spacing w:after="160" w:before="360"/>
      </w:pPr>
      <w:r>
        <w:rPr>
          <w:rFonts w:ascii="Calibri" w:cs="Calibri" w:eastAsia="Calibri" w:hAnsi="Calibri"/>
          <w:b/>
          <w:bCs/>
          <w:color w:val="0A0E1A"/>
          <w:sz w:val="28"/>
          <w:szCs w:val="28"/>
        </w:rPr>
        <w:t xml:space="preserve">4.3 Phase 3: Public launch (Day 120+)</w:t>
      </w:r>
    </w:p>
    <w:p>
      <w:pPr>
        <w:pStyle w:val="Heading3"/>
        <w:spacing w:after="120" w:before="240"/>
      </w:pPr>
      <w:r>
        <w:rPr>
          <w:rFonts w:ascii="Calibri" w:cs="Calibri" w:eastAsia="Calibri" w:hAnsi="Calibri"/>
          <w:b/>
          <w:bCs/>
          <w:color w:val="B8954A"/>
          <w:sz w:val="22"/>
          <w:szCs w:val="22"/>
        </w:rPr>
        <w:t xml:space="preserve">Acquisition channels</w:t>
      </w:r>
    </w:p>
    <w:p>
      <w:pPr>
        <w:pStyle w:val="ListParagraph"/>
        <w:numPr>
          <w:ilvl w:val="0"/>
          <w:numId w:val="2"/>
        </w:numPr>
        <w:spacing w:after="40" w:before="40" w:line="300"/>
      </w:pPr>
      <w:r>
        <w:rPr>
          <w:rFonts w:ascii="Calibri" w:cs="Calibri" w:eastAsia="Calibri" w:hAnsi="Calibri"/>
          <w:color w:val="1A202C"/>
          <w:sz w:val="22"/>
          <w:szCs w:val="22"/>
        </w:rPr>
        <w:t xml:space="preserve">Founder-led content — Lorenzo's LinkedIn and Boardroom x Prayer Room podcast become the top of funnel</w:t>
      </w:r>
    </w:p>
    <w:p>
      <w:pPr>
        <w:pStyle w:val="ListParagraph"/>
        <w:numPr>
          <w:ilvl w:val="0"/>
          <w:numId w:val="2"/>
        </w:numPr>
        <w:spacing w:after="40" w:before="40" w:line="300"/>
      </w:pPr>
      <w:r>
        <w:rPr>
          <w:rFonts w:ascii="Calibri" w:cs="Calibri" w:eastAsia="Calibri" w:hAnsi="Calibri"/>
          <w:color w:val="1A202C"/>
          <w:sz w:val="22"/>
          <w:szCs w:val="22"/>
        </w:rPr>
        <w:t xml:space="preserve">Webinar series — "How We Won [Funder Name] With AI" with permission from design partners</w:t>
      </w:r>
    </w:p>
    <w:p>
      <w:pPr>
        <w:pStyle w:val="ListParagraph"/>
        <w:numPr>
          <w:ilvl w:val="0"/>
          <w:numId w:val="2"/>
        </w:numPr>
        <w:spacing w:after="40" w:before="40" w:line="300"/>
      </w:pPr>
      <w:r>
        <w:rPr>
          <w:rFonts w:ascii="Calibri" w:cs="Calibri" w:eastAsia="Calibri" w:hAnsi="Calibri"/>
          <w:color w:val="1A202C"/>
          <w:sz w:val="22"/>
          <w:szCs w:val="22"/>
        </w:rPr>
        <w:t xml:space="preserve">Affiliate program — capture consultants earn 25% recurring on referrals; converts competitors into channel</w:t>
      </w:r>
    </w:p>
    <w:p>
      <w:pPr>
        <w:pStyle w:val="ListParagraph"/>
        <w:numPr>
          <w:ilvl w:val="0"/>
          <w:numId w:val="2"/>
        </w:numPr>
        <w:spacing w:after="40" w:before="40" w:line="300"/>
      </w:pPr>
      <w:r>
        <w:rPr>
          <w:rFonts w:ascii="Calibri" w:cs="Calibri" w:eastAsia="Calibri" w:hAnsi="Calibri"/>
          <w:color w:val="1A202C"/>
          <w:sz w:val="22"/>
          <w:szCs w:val="22"/>
        </w:rPr>
        <w:t xml:space="preserve">Conference circuit — NCN, ARNOVA, NHSA, WIB conferences, federal contracting trade shows</w:t>
      </w:r>
    </w:p>
    <w:p>
      <w:pPr>
        <w:pStyle w:val="ListParagraph"/>
        <w:numPr>
          <w:ilvl w:val="0"/>
          <w:numId w:val="2"/>
        </w:numPr>
        <w:spacing w:after="40" w:before="40" w:line="300"/>
      </w:pPr>
      <w:r>
        <w:rPr>
          <w:rFonts w:ascii="Calibri" w:cs="Calibri" w:eastAsia="Calibri" w:hAnsi="Calibri"/>
          <w:color w:val="1A202C"/>
          <w:sz w:val="22"/>
          <w:szCs w:val="22"/>
        </w:rPr>
        <w:t xml:space="preserve">Direct outreach — RFP-discovery-as-a-Trojan-horse: "We saw 3 RFPs that fit your org this week. Want them?"</w:t>
      </w:r>
    </w:p>
    <w:p>
      <w:pPr>
        <w:pStyle w:val="Heading2"/>
        <w:spacing w:after="160" w:before="360"/>
      </w:pPr>
      <w:r>
        <w:rPr>
          <w:rFonts w:ascii="Calibri" w:cs="Calibri" w:eastAsia="Calibri" w:hAnsi="Calibri"/>
          <w:b/>
          <w:bCs/>
          <w:color w:val="0A0E1A"/>
          <w:sz w:val="28"/>
          <w:szCs w:val="28"/>
        </w:rPr>
        <w:t xml:space="preserve">4.4 Sales motion by tier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2200"/>
        <w:gridCol w:w="2060"/>
      </w:tblGrid>
      <w:tr>
        <w:tc>
          <w:tcPr>
            <w:tcW w:type="dxa" w:w="1700"/>
            <w:tcBorders>
              <w:top w:val="single" w:color="D4D4D8" w:sz="1"/>
              <w:left w:val="single" w:color="D4D4D8" w:sz="1"/>
              <w:bottom w:val="single" w:color="D4D4D8" w:sz="1"/>
              <w:right w:val="single" w:color="D4D4D8" w:sz="1"/>
            </w:tcBorders>
            <w:shd w:fill="F7F5F0" w:val="clear"/>
            <w:tcMar>
              <w:top w:type="dxa" w:w="120"/>
              <w:left w:type="dxa" w:w="160"/>
              <w:bottom w:type="dxa" w:w="120"/>
              <w:right w:type="dxa" w:w="160"/>
            </w:tcMar>
          </w:tcPr>
          <w:p>
            <w:pPr>
              <w:jc w:val="left"/>
            </w:pPr>
            <w:r>
              <w:rPr>
                <w:rFonts w:ascii="Calibri" w:cs="Calibri" w:eastAsia="Calibri" w:hAnsi="Calibri"/>
                <w:b/>
                <w:bCs/>
                <w:color w:val="1A202C"/>
                <w:sz w:val="20"/>
                <w:szCs w:val="20"/>
              </w:rPr>
              <w:t xml:space="preserve">Tier</w:t>
            </w:r>
          </w:p>
        </w:tc>
        <w:tc>
          <w:tcPr>
            <w:tcW w:type="dxa" w:w="4400"/>
            <w:tcBorders>
              <w:top w:val="single" w:color="D4D4D8" w:sz="1"/>
              <w:left w:val="single" w:color="D4D4D8" w:sz="1"/>
              <w:bottom w:val="single" w:color="D4D4D8" w:sz="1"/>
              <w:right w:val="single" w:color="D4D4D8" w:sz="1"/>
            </w:tcBorders>
            <w:shd w:fill="F7F5F0" w:val="clear"/>
            <w:tcMar>
              <w:top w:type="dxa" w:w="120"/>
              <w:left w:type="dxa" w:w="160"/>
              <w:bottom w:type="dxa" w:w="120"/>
              <w:right w:type="dxa" w:w="160"/>
            </w:tcMar>
          </w:tcPr>
          <w:p>
            <w:pPr>
              <w:jc w:val="left"/>
            </w:pPr>
            <w:r>
              <w:rPr>
                <w:rFonts w:ascii="Calibri" w:cs="Calibri" w:eastAsia="Calibri" w:hAnsi="Calibri"/>
                <w:b/>
                <w:bCs/>
                <w:color w:val="1A202C"/>
                <w:sz w:val="20"/>
                <w:szCs w:val="20"/>
              </w:rPr>
              <w:t xml:space="preserve">Motion</w:t>
            </w:r>
          </w:p>
        </w:tc>
        <w:tc>
          <w:tcPr>
            <w:tcW w:type="dxa" w:w="2200"/>
            <w:tcBorders>
              <w:top w:val="single" w:color="D4D4D8" w:sz="1"/>
              <w:left w:val="single" w:color="D4D4D8" w:sz="1"/>
              <w:bottom w:val="single" w:color="D4D4D8" w:sz="1"/>
              <w:right w:val="single" w:color="D4D4D8" w:sz="1"/>
            </w:tcBorders>
            <w:shd w:fill="F7F5F0" w:val="clear"/>
            <w:tcMar>
              <w:top w:type="dxa" w:w="120"/>
              <w:left w:type="dxa" w:w="160"/>
              <w:bottom w:type="dxa" w:w="120"/>
              <w:right w:type="dxa" w:w="160"/>
            </w:tcMar>
          </w:tcPr>
          <w:p>
            <w:pPr>
              <w:jc w:val="left"/>
            </w:pPr>
            <w:r>
              <w:rPr>
                <w:rFonts w:ascii="Calibri" w:cs="Calibri" w:eastAsia="Calibri" w:hAnsi="Calibri"/>
                <w:b/>
                <w:bCs/>
                <w:color w:val="1A202C"/>
                <w:sz w:val="20"/>
                <w:szCs w:val="20"/>
              </w:rPr>
              <w:t xml:space="preserve">Cycle</w:t>
            </w:r>
          </w:p>
        </w:tc>
        <w:tc>
          <w:tcPr>
            <w:tcW w:type="dxa" w:w="2060"/>
            <w:tcBorders>
              <w:top w:val="single" w:color="D4D4D8" w:sz="1"/>
              <w:left w:val="single" w:color="D4D4D8" w:sz="1"/>
              <w:bottom w:val="single" w:color="D4D4D8" w:sz="1"/>
              <w:right w:val="single" w:color="D4D4D8" w:sz="1"/>
            </w:tcBorders>
            <w:shd w:fill="F7F5F0" w:val="clear"/>
            <w:tcMar>
              <w:top w:type="dxa" w:w="120"/>
              <w:left w:type="dxa" w:w="160"/>
              <w:bottom w:type="dxa" w:w="120"/>
              <w:right w:type="dxa" w:w="160"/>
            </w:tcMar>
          </w:tcPr>
          <w:p>
            <w:pPr>
              <w:jc w:val="left"/>
            </w:pPr>
            <w:r>
              <w:rPr>
                <w:rFonts w:ascii="Calibri" w:cs="Calibri" w:eastAsia="Calibri" w:hAnsi="Calibri"/>
                <w:b/>
                <w:bCs/>
                <w:color w:val="1A202C"/>
                <w:sz w:val="20"/>
                <w:szCs w:val="20"/>
              </w:rPr>
              <w:t xml:space="preserve">CAC target</w:t>
            </w:r>
          </w:p>
        </w:tc>
      </w:tr>
      <w:tr>
        <w:tc>
          <w:tcPr>
            <w:tcW w:type="dxa" w:w="1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Starter</w:t>
            </w:r>
          </w:p>
        </w:tc>
        <w:tc>
          <w:tcPr>
            <w:tcW w:type="dxa" w:w="44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Self-serve, credit card</w:t>
            </w:r>
          </w:p>
        </w:tc>
        <w:tc>
          <w:tcPr>
            <w:tcW w:type="dxa" w:w="22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&lt;1 day</w:t>
            </w:r>
          </w:p>
        </w:tc>
        <w:tc>
          <w:tcPr>
            <w:tcW w:type="dxa" w:w="20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&lt;$80</w:t>
            </w:r>
          </w:p>
        </w:tc>
      </w:tr>
      <w:tr>
        <w:tc>
          <w:tcPr>
            <w:tcW w:type="dxa" w:w="1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Pro</w:t>
            </w:r>
          </w:p>
        </w:tc>
        <w:tc>
          <w:tcPr>
            <w:tcW w:type="dxa" w:w="44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Self-serve + onboarding call</w:t>
            </w:r>
          </w:p>
        </w:tc>
        <w:tc>
          <w:tcPr>
            <w:tcW w:type="dxa" w:w="22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3-7 days</w:t>
            </w:r>
          </w:p>
        </w:tc>
        <w:tc>
          <w:tcPr>
            <w:tcW w:type="dxa" w:w="20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&lt;$400</w:t>
            </w:r>
          </w:p>
        </w:tc>
      </w:tr>
      <w:tr>
        <w:tc>
          <w:tcPr>
            <w:tcW w:type="dxa" w:w="1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Agency</w:t>
            </w:r>
          </w:p>
        </w:tc>
        <w:tc>
          <w:tcPr>
            <w:tcW w:type="dxa" w:w="44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Sales call + custom demo</w:t>
            </w:r>
          </w:p>
        </w:tc>
        <w:tc>
          <w:tcPr>
            <w:tcW w:type="dxa" w:w="22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2-4 weeks</w:t>
            </w:r>
          </w:p>
        </w:tc>
        <w:tc>
          <w:tcPr>
            <w:tcW w:type="dxa" w:w="20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&lt;$2,000</w:t>
            </w:r>
          </w:p>
        </w:tc>
      </w:tr>
      <w:tr>
        <w:tc>
          <w:tcPr>
            <w:tcW w:type="dxa" w:w="1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Enterprise</w:t>
            </w:r>
          </w:p>
        </w:tc>
        <w:tc>
          <w:tcPr>
            <w:tcW w:type="dxa" w:w="44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Field sales + procurement</w:t>
            </w:r>
          </w:p>
        </w:tc>
        <w:tc>
          <w:tcPr>
            <w:tcW w:type="dxa" w:w="22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3-6 months</w:t>
            </w:r>
          </w:p>
        </w:tc>
        <w:tc>
          <w:tcPr>
            <w:tcW w:type="dxa" w:w="20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&lt;$15,000</w:t>
            </w:r>
          </w:p>
        </w:tc>
      </w:tr>
    </w:tbl>
    <w:p>
      <w:pPr>
        <w:pageBreakBefore/>
      </w:pPr>
    </w:p>
    <w:p>
      <w:pPr>
        <w:pStyle w:val="Heading1"/>
        <w:spacing w:after="200" w:before="480"/>
      </w:pPr>
      <w:r>
        <w:rPr>
          <w:rFonts w:ascii="Calibri" w:cs="Calibri" w:eastAsia="Calibri" w:hAnsi="Calibri"/>
          <w:b/>
          <w:bCs/>
          <w:color w:val="0A0E1A"/>
          <w:sz w:val="36"/>
          <w:szCs w:val="36"/>
        </w:rPr>
        <w:t xml:space="preserve">5. Landing Page Copy</w:t>
      </w:r>
    </w:p>
    <w:p>
      <w:pPr>
        <w:spacing w:after="120" w:before="80" w:line="320"/>
      </w:pPr>
      <w:r>
        <w:rPr>
          <w:rFonts w:ascii="Calibri" w:cs="Calibri" w:eastAsia="Calibri" w:hAnsi="Calibri"/>
          <w:color w:val="1A202C"/>
          <w:sz w:val="22"/>
          <w:szCs w:val="22"/>
        </w:rPr>
        <w:t xml:space="preserve">This is the public-facing copy ready for the marketing site. Every line is intentional. Do not soften.</w:t>
      </w:r>
    </w:p>
    <w:p>
      <w:pPr>
        <w:pStyle w:val="Heading2"/>
        <w:spacing w:after="160" w:before="360"/>
      </w:pPr>
      <w:r>
        <w:rPr>
          <w:rFonts w:ascii="Calibri" w:cs="Calibri" w:eastAsia="Calibri" w:hAnsi="Calibri"/>
          <w:b/>
          <w:bCs/>
          <w:color w:val="0A0E1A"/>
          <w:sz w:val="28"/>
          <w:szCs w:val="28"/>
        </w:rPr>
        <w:t xml:space="preserve">5.1 Hero</w:t>
      </w:r>
    </w:p>
    <w:p>
      <w:pPr>
        <w:pStyle w:val="Heading3"/>
        <w:spacing w:after="120" w:before="240"/>
      </w:pPr>
      <w:r>
        <w:rPr>
          <w:rFonts w:ascii="Calibri" w:cs="Calibri" w:eastAsia="Calibri" w:hAnsi="Calibri"/>
          <w:b/>
          <w:bCs/>
          <w:color w:val="B8954A"/>
          <w:sz w:val="22"/>
          <w:szCs w:val="22"/>
        </w:rPr>
        <w:t xml:space="preserve">Headline (above the fold)</w:t>
      </w:r>
    </w:p>
    <w:p>
      <w:pPr>
        <w:spacing w:after="240" w:before="240" w:line="360"/>
        <w:jc w:val="center"/>
      </w:pPr>
      <w:r>
        <w:rPr>
          <w:rFonts w:ascii="Calibri" w:cs="Calibri" w:eastAsia="Calibri" w:hAnsi="Calibri"/>
          <w:i/>
          <w:iCs/>
          <w:color w:val="0A0E1A"/>
          <w:sz w:val="28"/>
          <w:szCs w:val="28"/>
        </w:rPr>
        <w:t xml:space="preserve">“Win the grants and contracts you keep missing.”</w:t>
      </w:r>
    </w:p>
    <w:p>
      <w:pPr>
        <w:pStyle w:val="Heading3"/>
        <w:spacing w:after="120" w:before="240"/>
      </w:pPr>
      <w:r>
        <w:rPr>
          <w:rFonts w:ascii="Calibri" w:cs="Calibri" w:eastAsia="Calibri" w:hAnsi="Calibri"/>
          <w:b/>
          <w:bCs/>
          <w:color w:val="B8954A"/>
          <w:sz w:val="22"/>
          <w:szCs w:val="22"/>
        </w:rPr>
        <w:t xml:space="preserve">Subhead</w:t>
      </w:r>
    </w:p>
    <w:p>
      <w:pPr>
        <w:spacing w:after="120" w:before="80" w:line="320"/>
      </w:pPr>
      <w:r>
        <w:rPr>
          <w:rFonts w:ascii="Calibri" w:cs="Calibri" w:eastAsia="Calibri" w:hAnsi="Calibri"/>
          <w:i w:val="false"/>
          <w:iCs w:val="false"/>
          <w:color w:val="1A202C"/>
          <w:sz w:val="22"/>
          <w:szCs w:val="22"/>
        </w:rPr>
        <w:t xml:space="preserve">Perpetual Core RFP &amp; Proposal Engine is the AI capture team for nonprofits and mission-driven companies that can't afford to hire one. We surface the right opportunities, draft proposals in your voice, and check compliance before you submit — so you spend your week on the work, not the paperwork.</w:t>
      </w:r>
    </w:p>
    <w:p>
      <w:pPr>
        <w:pStyle w:val="Heading3"/>
        <w:spacing w:after="120" w:before="240"/>
      </w:pPr>
      <w:r>
        <w:rPr>
          <w:rFonts w:ascii="Calibri" w:cs="Calibri" w:eastAsia="Calibri" w:hAnsi="Calibri"/>
          <w:b/>
          <w:bCs/>
          <w:color w:val="B8954A"/>
          <w:sz w:val="22"/>
          <w:szCs w:val="22"/>
        </w:rPr>
        <w:t xml:space="preserve">Primary CTA</w:t>
      </w:r>
    </w:p>
    <w:p>
      <w:pPr>
        <w:spacing w:after="120" w:before="80" w:line="320"/>
      </w:pPr>
      <w:r>
        <w:rPr>
          <w:rFonts w:ascii="Calibri" w:cs="Calibri" w:eastAsia="Calibri" w:hAnsi="Calibri"/>
          <w:color w:val="1A202C"/>
          <w:sz w:val="22"/>
          <w:szCs w:val="22"/>
        </w:rPr>
        <w:t xml:space="preserve">→ Start free trial · See live opportunities for your org in 60 seconds</w:t>
      </w:r>
    </w:p>
    <w:p>
      <w:pPr>
        <w:pStyle w:val="Heading3"/>
        <w:spacing w:after="120" w:before="240"/>
      </w:pPr>
      <w:r>
        <w:rPr>
          <w:rFonts w:ascii="Calibri" w:cs="Calibri" w:eastAsia="Calibri" w:hAnsi="Calibri"/>
          <w:b/>
          <w:bCs/>
          <w:color w:val="B8954A"/>
          <w:sz w:val="22"/>
          <w:szCs w:val="22"/>
        </w:rPr>
        <w:t xml:space="preserve">Secondary CTA</w:t>
      </w:r>
    </w:p>
    <w:p>
      <w:pPr>
        <w:spacing w:after="120" w:before="80" w:line="320"/>
      </w:pPr>
      <w:r>
        <w:rPr>
          <w:rFonts w:ascii="Calibri" w:cs="Calibri" w:eastAsia="Calibri" w:hAnsi="Calibri"/>
          <w:color w:val="1A202C"/>
          <w:sz w:val="22"/>
          <w:szCs w:val="22"/>
        </w:rPr>
        <w:t xml:space="preserve">→ Watch the 3-minute demo</w:t>
      </w:r>
    </w:p>
    <w:p>
      <w:pPr>
        <w:pStyle w:val="Heading2"/>
        <w:spacing w:after="160" w:before="360"/>
      </w:pPr>
      <w:r>
        <w:rPr>
          <w:rFonts w:ascii="Calibri" w:cs="Calibri" w:eastAsia="Calibri" w:hAnsi="Calibri"/>
          <w:b/>
          <w:bCs/>
          <w:color w:val="0A0E1A"/>
          <w:sz w:val="28"/>
          <w:szCs w:val="28"/>
        </w:rPr>
        <w:t xml:space="preserve">5.2 Social proof strip</w:t>
      </w:r>
    </w:p>
    <w:p>
      <w:pPr>
        <w:spacing w:after="120" w:before="80" w:line="320"/>
      </w:pPr>
      <w:r>
        <w:rPr>
          <w:rFonts w:ascii="Calibri" w:cs="Calibri" w:eastAsia="Calibri" w:hAnsi="Calibri"/>
          <w:color w:val="1A202C"/>
          <w:sz w:val="22"/>
          <w:szCs w:val="22"/>
        </w:rPr>
        <w:t xml:space="preserve">(Replace with real logos as design partners onboard.)</w:t>
      </w:r>
    </w:p>
    <w:p>
      <w:pPr>
        <w:spacing w:after="120" w:before="80" w:line="320"/>
      </w:pPr>
      <w:r>
        <w:rPr>
          <w:rFonts w:ascii="Calibri" w:cs="Calibri" w:eastAsia="Calibri" w:hAnsi="Calibri"/>
          <w:color w:val="1A202C"/>
          <w:sz w:val="22"/>
          <w:szCs w:val="22"/>
        </w:rPr>
        <w:t xml:space="preserve">Trusted by Uplift Communities, the Institute for Human Advancement, [Design Partner 1], [Design Partner 2], [Design Partner 3]</w:t>
      </w:r>
    </w:p>
    <w:p>
      <w:pPr>
        <w:pStyle w:val="Heading2"/>
        <w:spacing w:after="160" w:before="360"/>
      </w:pPr>
      <w:r>
        <w:rPr>
          <w:rFonts w:ascii="Calibri" w:cs="Calibri" w:eastAsia="Calibri" w:hAnsi="Calibri"/>
          <w:b/>
          <w:bCs/>
          <w:color w:val="0A0E1A"/>
          <w:sz w:val="28"/>
          <w:szCs w:val="28"/>
        </w:rPr>
        <w:t xml:space="preserve">5.3 Section: "What you get" (3-column)</w:t>
      </w:r>
    </w:p>
    <w:p>
      <w:pPr>
        <w:pStyle w:val="Heading3"/>
        <w:spacing w:after="120" w:before="240"/>
      </w:pPr>
      <w:r>
        <w:rPr>
          <w:rFonts w:ascii="Calibri" w:cs="Calibri" w:eastAsia="Calibri" w:hAnsi="Calibri"/>
          <w:b/>
          <w:bCs/>
          <w:color w:val="B8954A"/>
          <w:sz w:val="22"/>
          <w:szCs w:val="22"/>
        </w:rPr>
        <w:t xml:space="preserve">Column 1 — Discovery that doesn't sleep</w:t>
      </w:r>
    </w:p>
    <w:p>
      <w:pPr>
        <w:spacing w:after="120" w:before="80" w:line="320"/>
      </w:pPr>
      <w:r>
        <w:rPr>
          <w:rFonts w:ascii="Calibri" w:cs="Calibri" w:eastAsia="Calibri" w:hAnsi="Calibri"/>
          <w:color w:val="1A202C"/>
          <w:sz w:val="22"/>
          <w:szCs w:val="22"/>
        </w:rPr>
        <w:t xml:space="preserve">Every six hours, the Discovery agent scans SAM.gov, Grants.gov, NY State, NYC DYCD, foundation directories, and SBIR.gov. It scores every opportunity against your org's profile and only surfaces what fits. No more 47 weekly funder newsletters.</w:t>
      </w:r>
    </w:p>
    <w:p>
      <w:pPr>
        <w:pStyle w:val="Heading3"/>
        <w:spacing w:after="120" w:before="240"/>
      </w:pPr>
      <w:r>
        <w:rPr>
          <w:rFonts w:ascii="Calibri" w:cs="Calibri" w:eastAsia="Calibri" w:hAnsi="Calibri"/>
          <w:b/>
          <w:bCs/>
          <w:color w:val="B8954A"/>
          <w:sz w:val="22"/>
          <w:szCs w:val="22"/>
        </w:rPr>
        <w:t xml:space="preserve">Column 2 — Drafts that sound like you</w:t>
      </w:r>
    </w:p>
    <w:p>
      <w:pPr>
        <w:spacing w:after="120" w:before="80" w:line="320"/>
      </w:pPr>
      <w:r>
        <w:rPr>
          <w:rFonts w:ascii="Calibri" w:cs="Calibri" w:eastAsia="Calibri" w:hAnsi="Calibri"/>
          <w:color w:val="1A202C"/>
          <w:sz w:val="22"/>
          <w:szCs w:val="22"/>
        </w:rPr>
        <w:t xml:space="preserve">The Drafting agent learns your voice from your wins. It writes Need Statements, Approaches, Logic Models, Eval Plans, Tech Approaches, and Past Performance sections grounded in your real partners, programs, and outcomes. Every claim cites a vault artifact. Nothing is invented.</w:t>
      </w:r>
    </w:p>
    <w:p>
      <w:pPr>
        <w:pStyle w:val="Heading3"/>
        <w:spacing w:after="120" w:before="240"/>
      </w:pPr>
      <w:r>
        <w:rPr>
          <w:rFonts w:ascii="Calibri" w:cs="Calibri" w:eastAsia="Calibri" w:hAnsi="Calibri"/>
          <w:b/>
          <w:bCs/>
          <w:color w:val="B8954A"/>
          <w:sz w:val="22"/>
          <w:szCs w:val="22"/>
        </w:rPr>
        <w:t xml:space="preserve">Column 3 — Compliance you can submit</w:t>
      </w:r>
    </w:p>
    <w:p>
      <w:pPr>
        <w:spacing w:after="120" w:before="80" w:line="320"/>
      </w:pPr>
      <w:r>
        <w:rPr>
          <w:rFonts w:ascii="Calibri" w:cs="Calibri" w:eastAsia="Calibri" w:hAnsi="Calibri"/>
          <w:color w:val="1A202C"/>
          <w:sz w:val="22"/>
          <w:szCs w:val="22"/>
        </w:rPr>
        <w:t xml:space="preserve">Page limits, required attachments, budget math, eligibility, due dates with timezones — checked automatically before you submit. Full agent activity log for any future audit. Federal funders ask. We answer.</w:t>
      </w:r>
    </w:p>
    <w:p>
      <w:pPr>
        <w:pStyle w:val="Heading2"/>
        <w:spacing w:after="160" w:before="360"/>
      </w:pPr>
      <w:r>
        <w:rPr>
          <w:rFonts w:ascii="Calibri" w:cs="Calibri" w:eastAsia="Calibri" w:hAnsi="Calibri"/>
          <w:b/>
          <w:bCs/>
          <w:color w:val="0A0E1A"/>
          <w:sz w:val="28"/>
          <w:szCs w:val="28"/>
        </w:rPr>
        <w:t xml:space="preserve">5.4 Section: "Built for both sides of the table"</w:t>
      </w:r>
    </w:p>
    <w:p>
      <w:pPr>
        <w:pStyle w:val="Heading3"/>
        <w:spacing w:after="120" w:before="240"/>
      </w:pPr>
      <w:r>
        <w:rPr>
          <w:rFonts w:ascii="Calibri" w:cs="Calibri" w:eastAsia="Calibri" w:hAnsi="Calibri"/>
          <w:b/>
          <w:bCs/>
          <w:color w:val="B8954A"/>
          <w:sz w:val="22"/>
          <w:szCs w:val="22"/>
        </w:rPr>
        <w:t xml:space="preserve">For nonprofits</w:t>
      </w:r>
    </w:p>
    <w:p>
      <w:pPr>
        <w:spacing w:after="120" w:before="80" w:line="320"/>
      </w:pPr>
      <w:r>
        <w:rPr>
          <w:rFonts w:ascii="Calibri" w:cs="Calibri" w:eastAsia="Calibri" w:hAnsi="Calibri"/>
          <w:color w:val="1A202C"/>
          <w:sz w:val="22"/>
          <w:szCs w:val="22"/>
        </w:rPr>
        <w:t xml:space="preserve">From Bridge-to-Health-Careers RFPs to RWJF foundation grants to HHS workforce funding — surface, draft, submit. Voice-trained on the proposals you've already won.</w:t>
      </w:r>
    </w:p>
    <w:p>
      <w:pPr>
        <w:pStyle w:val="Heading3"/>
        <w:spacing w:after="120" w:before="240"/>
      </w:pPr>
      <w:r>
        <w:rPr>
          <w:rFonts w:ascii="Calibri" w:cs="Calibri" w:eastAsia="Calibri" w:hAnsi="Calibri"/>
          <w:b/>
          <w:bCs/>
          <w:color w:val="B8954A"/>
          <w:sz w:val="22"/>
          <w:szCs w:val="22"/>
        </w:rPr>
        <w:t xml:space="preserve">For mission-driven companies</w:t>
      </w:r>
    </w:p>
    <w:p>
      <w:pPr>
        <w:spacing w:after="120" w:before="80" w:line="320"/>
      </w:pPr>
      <w:r>
        <w:rPr>
          <w:rFonts w:ascii="Calibri" w:cs="Calibri" w:eastAsia="Calibri" w:hAnsi="Calibri"/>
          <w:color w:val="1A202C"/>
          <w:sz w:val="22"/>
          <w:szCs w:val="22"/>
        </w:rPr>
        <w:t xml:space="preserve">From SAM.gov IDIQs to NSF SBIRs to commercial RFPs — capture without hiring a BD lead. Pricing narratives, technical approaches, and past performance, written by an agent that knows your stack.</w:t>
      </w:r>
    </w:p>
    <w:p>
      <w:pPr>
        <w:pStyle w:val="Heading3"/>
        <w:spacing w:after="120" w:before="240"/>
      </w:pPr>
      <w:r>
        <w:rPr>
          <w:rFonts w:ascii="Calibri" w:cs="Calibri" w:eastAsia="Calibri" w:hAnsi="Calibri"/>
          <w:b/>
          <w:bCs/>
          <w:color w:val="B8954A"/>
          <w:sz w:val="22"/>
          <w:szCs w:val="22"/>
        </w:rPr>
        <w:t xml:space="preserve">For consultants and agencies</w:t>
      </w:r>
    </w:p>
    <w:p>
      <w:pPr>
        <w:spacing w:after="120" w:before="80" w:line="320"/>
      </w:pPr>
      <w:r>
        <w:rPr>
          <w:rFonts w:ascii="Calibri" w:cs="Calibri" w:eastAsia="Calibri" w:hAnsi="Calibri"/>
          <w:color w:val="1A202C"/>
          <w:sz w:val="22"/>
          <w:szCs w:val="22"/>
        </w:rPr>
        <w:t xml:space="preserve">Manage 5, 10, 15 client orgs from one console. White-label exports. Client billing dashboard. Serve more nonprofits without hiring more writers.</w:t>
      </w:r>
    </w:p>
    <w:p>
      <w:pPr>
        <w:pStyle w:val="Heading2"/>
        <w:spacing w:after="160" w:before="360"/>
      </w:pPr>
      <w:r>
        <w:rPr>
          <w:rFonts w:ascii="Calibri" w:cs="Calibri" w:eastAsia="Calibri" w:hAnsi="Calibri"/>
          <w:b/>
          <w:bCs/>
          <w:color w:val="0A0E1A"/>
          <w:sz w:val="28"/>
          <w:szCs w:val="28"/>
        </w:rPr>
        <w:t xml:space="preserve">5.5 Section: How it works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460"/>
        <w:gridCol w:w="3450"/>
        <w:gridCol w:w="3450"/>
      </w:tblGrid>
      <w:tr>
        <w:tc>
          <w:tcPr>
            <w:tcW w:type="dxa" w:w="3460"/>
            <w:tcBorders>
              <w:top w:val="single" w:color="D4D4D8" w:sz="1"/>
              <w:left w:val="single" w:color="D4D4D8" w:sz="1"/>
              <w:bottom w:val="single" w:color="D4D4D8" w:sz="1"/>
              <w:right w:val="single" w:color="D4D4D8" w:sz="1"/>
            </w:tcBorders>
            <w:shd w:fill="F7F5F0" w:val="clear"/>
            <w:tcMar>
              <w:top w:type="dxa" w:w="120"/>
              <w:left w:type="dxa" w:w="160"/>
              <w:bottom w:type="dxa" w:w="120"/>
              <w:right w:type="dxa" w:w="160"/>
            </w:tcMar>
          </w:tcPr>
          <w:p>
            <w:pPr>
              <w:jc w:val="left"/>
            </w:pPr>
            <w:r>
              <w:rPr>
                <w:rFonts w:ascii="Calibri" w:cs="Calibri" w:eastAsia="Calibri" w:hAnsi="Calibri"/>
                <w:b/>
                <w:bCs/>
                <w:color w:val="1A202C"/>
                <w:sz w:val="20"/>
                <w:szCs w:val="20"/>
              </w:rPr>
              <w:t xml:space="preserve">1. Upload your wins</w:t>
            </w:r>
          </w:p>
        </w:tc>
        <w:tc>
          <w:tcPr>
            <w:tcW w:type="dxa" w:w="3450"/>
            <w:tcBorders>
              <w:top w:val="single" w:color="D4D4D8" w:sz="1"/>
              <w:left w:val="single" w:color="D4D4D8" w:sz="1"/>
              <w:bottom w:val="single" w:color="D4D4D8" w:sz="1"/>
              <w:right w:val="single" w:color="D4D4D8" w:sz="1"/>
            </w:tcBorders>
            <w:shd w:fill="F7F5F0" w:val="clear"/>
            <w:tcMar>
              <w:top w:type="dxa" w:w="120"/>
              <w:left w:type="dxa" w:w="160"/>
              <w:bottom w:type="dxa" w:w="120"/>
              <w:right w:type="dxa" w:w="160"/>
            </w:tcMar>
          </w:tcPr>
          <w:p>
            <w:pPr>
              <w:jc w:val="left"/>
            </w:pPr>
            <w:r>
              <w:rPr>
                <w:rFonts w:ascii="Calibri" w:cs="Calibri" w:eastAsia="Calibri" w:hAnsi="Calibri"/>
                <w:b/>
                <w:bCs/>
                <w:color w:val="1A202C"/>
                <w:sz w:val="20"/>
                <w:szCs w:val="20"/>
              </w:rPr>
              <w:t xml:space="preserve">2. We learn your voice</w:t>
            </w:r>
          </w:p>
        </w:tc>
        <w:tc>
          <w:tcPr>
            <w:tcW w:type="dxa" w:w="3450"/>
            <w:tcBorders>
              <w:top w:val="single" w:color="D4D4D8" w:sz="1"/>
              <w:left w:val="single" w:color="D4D4D8" w:sz="1"/>
              <w:bottom w:val="single" w:color="D4D4D8" w:sz="1"/>
              <w:right w:val="single" w:color="D4D4D8" w:sz="1"/>
            </w:tcBorders>
            <w:shd w:fill="F7F5F0" w:val="clear"/>
            <w:tcMar>
              <w:top w:type="dxa" w:w="120"/>
              <w:left w:type="dxa" w:w="160"/>
              <w:bottom w:type="dxa" w:w="120"/>
              <w:right w:type="dxa" w:w="160"/>
            </w:tcMar>
          </w:tcPr>
          <w:p>
            <w:pPr>
              <w:jc w:val="left"/>
            </w:pPr>
            <w:r>
              <w:rPr>
                <w:rFonts w:ascii="Calibri" w:cs="Calibri" w:eastAsia="Calibri" w:hAnsi="Calibri"/>
                <w:b/>
                <w:bCs/>
                <w:color w:val="1A202C"/>
                <w:sz w:val="20"/>
                <w:szCs w:val="20"/>
              </w:rPr>
              <w:t xml:space="preserve">3. Discovery runs</w:t>
            </w:r>
          </w:p>
        </w:tc>
      </w:tr>
      <w:tr>
        <w:tc>
          <w:tcPr>
            <w:tcW w:type="dxa" w:w="34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Past proposals, capacity statements, partner letters, 990s, audits. We extract a Capture Profile and voice fingerprint.</w:t>
            </w:r>
          </w:p>
        </w:tc>
        <w:tc>
          <w:tcPr>
            <w:tcW w:type="dxa" w:w="345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Signature phrases, register, theory of change language. Quarterly auto-refresh keeps it current.</w:t>
            </w:r>
          </w:p>
        </w:tc>
        <w:tc>
          <w:tcPr>
            <w:tcW w:type="dxa" w:w="345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We scan federal, state, city, and foundation sources every six hours. You see only Tier-A matches.</w:t>
            </w:r>
          </w:p>
        </w:tc>
      </w:tr>
      <w:tr>
        <w:tc>
          <w:tcPr>
            <w:tcW w:type="dxa" w:w="34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4. You click Draft</w:t>
            </w:r>
          </w:p>
        </w:tc>
        <w:tc>
          <w:tcPr>
            <w:tcW w:type="dxa" w:w="345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5. Reviewer agent grades it</w:t>
            </w:r>
          </w:p>
        </w:tc>
        <w:tc>
          <w:tcPr>
            <w:tcW w:type="dxa" w:w="345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6. Compliance gate</w:t>
            </w:r>
          </w:p>
        </w:tc>
      </w:tr>
      <w:tr>
        <w:tc>
          <w:tcPr>
            <w:tcW w:type="dxa" w:w="34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Pick a section. Paste the solicitation excerpt. The Drafting agent returns a section in your voice, citing your vault.</w:t>
            </w:r>
          </w:p>
        </w:tc>
        <w:tc>
          <w:tcPr>
            <w:tcW w:type="dxa" w:w="345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An Opus-powered reviewer scores against the funder's rubric and flags weak spots before you read it.</w:t>
            </w:r>
          </w:p>
        </w:tc>
        <w:tc>
          <w:tcPr>
            <w:tcW w:type="dxa" w:w="345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Page limits, attachments, budget math. Pass before submit.</w:t>
            </w:r>
          </w:p>
        </w:tc>
      </w:tr>
    </w:tbl>
    <w:p>
      <w:pPr>
        <w:pStyle w:val="Heading2"/>
        <w:spacing w:after="160" w:before="360"/>
      </w:pPr>
      <w:r>
        <w:rPr>
          <w:rFonts w:ascii="Calibri" w:cs="Calibri" w:eastAsia="Calibri" w:hAnsi="Calibri"/>
          <w:b/>
          <w:bCs/>
          <w:color w:val="0A0E1A"/>
          <w:sz w:val="28"/>
          <w:szCs w:val="28"/>
        </w:rPr>
        <w:t xml:space="preserve">5.6 Section: Pricing tiles</w:t>
      </w:r>
    </w:p>
    <w:p>
      <w:pPr>
        <w:pStyle w:val="Heading3"/>
        <w:spacing w:after="120" w:before="240"/>
      </w:pPr>
      <w:r>
        <w:rPr>
          <w:rFonts w:ascii="Calibri" w:cs="Calibri" w:eastAsia="Calibri" w:hAnsi="Calibri"/>
          <w:b/>
          <w:bCs/>
          <w:color w:val="B8954A"/>
          <w:sz w:val="22"/>
          <w:szCs w:val="22"/>
        </w:rPr>
        <w:t xml:space="preserve">Starter — $299/mo</w:t>
      </w:r>
    </w:p>
    <w:p>
      <w:pPr>
        <w:pStyle w:val="ListParagraph"/>
        <w:numPr>
          <w:ilvl w:val="0"/>
          <w:numId w:val="2"/>
        </w:numPr>
        <w:spacing w:after="40" w:before="40" w:line="300"/>
      </w:pPr>
      <w:r>
        <w:rPr>
          <w:rFonts w:ascii="Calibri" w:cs="Calibri" w:eastAsia="Calibri" w:hAnsi="Calibri"/>
          <w:color w:val="1A202C"/>
          <w:sz w:val="22"/>
          <w:szCs w:val="22"/>
        </w:rPr>
        <w:t xml:space="preserve">1 user, 1 org</w:t>
      </w:r>
    </w:p>
    <w:p>
      <w:pPr>
        <w:pStyle w:val="ListParagraph"/>
        <w:numPr>
          <w:ilvl w:val="0"/>
          <w:numId w:val="2"/>
        </w:numPr>
        <w:spacing w:after="40" w:before="40" w:line="300"/>
      </w:pPr>
      <w:r>
        <w:rPr>
          <w:rFonts w:ascii="Calibri" w:cs="Calibri" w:eastAsia="Calibri" w:hAnsi="Calibri"/>
          <w:color w:val="1A202C"/>
          <w:sz w:val="22"/>
          <w:szCs w:val="22"/>
        </w:rPr>
        <w:t xml:space="preserve">Live discovery feed</w:t>
      </w:r>
    </w:p>
    <w:p>
      <w:pPr>
        <w:pStyle w:val="ListParagraph"/>
        <w:numPr>
          <w:ilvl w:val="0"/>
          <w:numId w:val="2"/>
        </w:numPr>
        <w:spacing w:after="40" w:before="40" w:line="300"/>
      </w:pPr>
      <w:r>
        <w:rPr>
          <w:rFonts w:ascii="Calibri" w:cs="Calibri" w:eastAsia="Calibri" w:hAnsi="Calibri"/>
          <w:color w:val="1A202C"/>
          <w:sz w:val="22"/>
          <w:szCs w:val="22"/>
        </w:rPr>
        <w:t xml:space="preserve">5 section drafts per month</w:t>
      </w:r>
    </w:p>
    <w:p>
      <w:pPr>
        <w:pStyle w:val="ListParagraph"/>
        <w:numPr>
          <w:ilvl w:val="0"/>
          <w:numId w:val="2"/>
        </w:numPr>
        <w:spacing w:after="40" w:before="40" w:line="300"/>
      </w:pPr>
      <w:r>
        <w:rPr>
          <w:rFonts w:ascii="Calibri" w:cs="Calibri" w:eastAsia="Calibri" w:hAnsi="Calibri"/>
          <w:color w:val="1A202C"/>
          <w:sz w:val="22"/>
          <w:szCs w:val="22"/>
        </w:rPr>
        <w:t xml:space="preserve">Voice training on 10 vault documents</w:t>
      </w:r>
    </w:p>
    <w:p>
      <w:pPr>
        <w:pStyle w:val="ListParagraph"/>
        <w:numPr>
          <w:ilvl w:val="0"/>
          <w:numId w:val="2"/>
        </w:numPr>
        <w:spacing w:after="40" w:before="40" w:line="300"/>
      </w:pPr>
      <w:r>
        <w:rPr>
          <w:rFonts w:ascii="Calibri" w:cs="Calibri" w:eastAsia="Calibri" w:hAnsi="Calibri"/>
          <w:color w:val="1A202C"/>
          <w:sz w:val="22"/>
          <w:szCs w:val="22"/>
        </w:rPr>
        <w:t xml:space="preserve">Email support</w:t>
      </w:r>
    </w:p>
    <w:p>
      <w:pPr>
        <w:pStyle w:val="Heading3"/>
        <w:spacing w:after="120" w:before="240"/>
      </w:pPr>
      <w:r>
        <w:rPr>
          <w:rFonts w:ascii="Calibri" w:cs="Calibri" w:eastAsia="Calibri" w:hAnsi="Calibri"/>
          <w:b/>
          <w:bCs/>
          <w:color w:val="B8954A"/>
          <w:sz w:val="22"/>
          <w:szCs w:val="22"/>
        </w:rPr>
        <w:t xml:space="preserve">Pro — $799/mo  (most popular)</w:t>
      </w:r>
    </w:p>
    <w:p>
      <w:pPr>
        <w:pStyle w:val="ListParagraph"/>
        <w:numPr>
          <w:ilvl w:val="0"/>
          <w:numId w:val="2"/>
        </w:numPr>
        <w:spacing w:after="40" w:before="40" w:line="300"/>
      </w:pPr>
      <w:r>
        <w:rPr>
          <w:rFonts w:ascii="Calibri" w:cs="Calibri" w:eastAsia="Calibri" w:hAnsi="Calibri"/>
          <w:color w:val="1A202C"/>
          <w:sz w:val="22"/>
          <w:szCs w:val="22"/>
        </w:rPr>
        <w:t xml:space="preserve">5 users, 1 org</w:t>
      </w:r>
    </w:p>
    <w:p>
      <w:pPr>
        <w:pStyle w:val="ListParagraph"/>
        <w:numPr>
          <w:ilvl w:val="0"/>
          <w:numId w:val="2"/>
        </w:numPr>
        <w:spacing w:after="40" w:before="40" w:line="300"/>
      </w:pPr>
      <w:r>
        <w:rPr>
          <w:rFonts w:ascii="Calibri" w:cs="Calibri" w:eastAsia="Calibri" w:hAnsi="Calibri"/>
          <w:color w:val="1A202C"/>
          <w:sz w:val="22"/>
          <w:szCs w:val="22"/>
        </w:rPr>
        <w:t xml:space="preserve">Unlimited discovery</w:t>
      </w:r>
    </w:p>
    <w:p>
      <w:pPr>
        <w:pStyle w:val="ListParagraph"/>
        <w:numPr>
          <w:ilvl w:val="0"/>
          <w:numId w:val="2"/>
        </w:numPr>
        <w:spacing w:after="40" w:before="40" w:line="300"/>
      </w:pPr>
      <w:r>
        <w:rPr>
          <w:rFonts w:ascii="Calibri" w:cs="Calibri" w:eastAsia="Calibri" w:hAnsi="Calibri"/>
          <w:color w:val="1A202C"/>
          <w:sz w:val="22"/>
          <w:szCs w:val="22"/>
        </w:rPr>
        <w:t xml:space="preserve">25 section drafts per month</w:t>
      </w:r>
    </w:p>
    <w:p>
      <w:pPr>
        <w:pStyle w:val="ListParagraph"/>
        <w:numPr>
          <w:ilvl w:val="0"/>
          <w:numId w:val="2"/>
        </w:numPr>
        <w:spacing w:after="40" w:before="40" w:line="300"/>
      </w:pPr>
      <w:r>
        <w:rPr>
          <w:rFonts w:ascii="Calibri" w:cs="Calibri" w:eastAsia="Calibri" w:hAnsi="Calibri"/>
          <w:color w:val="1A202C"/>
          <w:sz w:val="22"/>
          <w:szCs w:val="22"/>
        </w:rPr>
        <w:t xml:space="preserve">Reviewer agent + Compliance agent</w:t>
      </w:r>
    </w:p>
    <w:p>
      <w:pPr>
        <w:pStyle w:val="ListParagraph"/>
        <w:numPr>
          <w:ilvl w:val="0"/>
          <w:numId w:val="2"/>
        </w:numPr>
        <w:spacing w:after="40" w:before="40" w:line="300"/>
      </w:pPr>
      <w:r>
        <w:rPr>
          <w:rFonts w:ascii="Calibri" w:cs="Calibri" w:eastAsia="Calibri" w:hAnsi="Calibri"/>
          <w:color w:val="1A202C"/>
          <w:sz w:val="22"/>
          <w:szCs w:val="22"/>
        </w:rPr>
        <w:t xml:space="preserve">Full vault (unlimited documents)</w:t>
      </w:r>
    </w:p>
    <w:p>
      <w:pPr>
        <w:pStyle w:val="ListParagraph"/>
        <w:numPr>
          <w:ilvl w:val="0"/>
          <w:numId w:val="2"/>
        </w:numPr>
        <w:spacing w:after="40" w:before="40" w:line="300"/>
      </w:pPr>
      <w:r>
        <w:rPr>
          <w:rFonts w:ascii="Calibri" w:cs="Calibri" w:eastAsia="Calibri" w:hAnsi="Calibri"/>
          <w:color w:val="1A202C"/>
          <w:sz w:val="22"/>
          <w:szCs w:val="22"/>
        </w:rPr>
        <w:t xml:space="preserve">Slack and Teams notifications</w:t>
      </w:r>
    </w:p>
    <w:p>
      <w:pPr>
        <w:pStyle w:val="ListParagraph"/>
        <w:numPr>
          <w:ilvl w:val="0"/>
          <w:numId w:val="2"/>
        </w:numPr>
        <w:spacing w:after="40" w:before="40" w:line="300"/>
      </w:pPr>
      <w:r>
        <w:rPr>
          <w:rFonts w:ascii="Calibri" w:cs="Calibri" w:eastAsia="Calibri" w:hAnsi="Calibri"/>
          <w:color w:val="1A202C"/>
          <w:sz w:val="22"/>
          <w:szCs w:val="22"/>
        </w:rPr>
        <w:t xml:space="preserve">Priority support</w:t>
      </w:r>
    </w:p>
    <w:p>
      <w:pPr>
        <w:pStyle w:val="Heading3"/>
        <w:spacing w:after="120" w:before="240"/>
      </w:pPr>
      <w:r>
        <w:rPr>
          <w:rFonts w:ascii="Calibri" w:cs="Calibri" w:eastAsia="Calibri" w:hAnsi="Calibri"/>
          <w:b/>
          <w:bCs/>
          <w:color w:val="B8954A"/>
          <w:sz w:val="22"/>
          <w:szCs w:val="22"/>
        </w:rPr>
        <w:t xml:space="preserve">Agency — $2,499/mo</w:t>
      </w:r>
    </w:p>
    <w:p>
      <w:pPr>
        <w:pStyle w:val="ListParagraph"/>
        <w:numPr>
          <w:ilvl w:val="0"/>
          <w:numId w:val="2"/>
        </w:numPr>
        <w:spacing w:after="40" w:before="40" w:line="300"/>
      </w:pPr>
      <w:r>
        <w:rPr>
          <w:rFonts w:ascii="Calibri" w:cs="Calibri" w:eastAsia="Calibri" w:hAnsi="Calibri"/>
          <w:color w:val="1A202C"/>
          <w:sz w:val="22"/>
          <w:szCs w:val="22"/>
        </w:rPr>
        <w:t xml:space="preserve">Unlimited users</w:t>
      </w:r>
    </w:p>
    <w:p>
      <w:pPr>
        <w:pStyle w:val="ListParagraph"/>
        <w:numPr>
          <w:ilvl w:val="0"/>
          <w:numId w:val="2"/>
        </w:numPr>
        <w:spacing w:after="40" w:before="40" w:line="300"/>
      </w:pPr>
      <w:r>
        <w:rPr>
          <w:rFonts w:ascii="Calibri" w:cs="Calibri" w:eastAsia="Calibri" w:hAnsi="Calibri"/>
          <w:color w:val="1A202C"/>
          <w:sz w:val="22"/>
          <w:szCs w:val="22"/>
        </w:rPr>
        <w:t xml:space="preserve">Up to 15 client orgs</w:t>
      </w:r>
    </w:p>
    <w:p>
      <w:pPr>
        <w:pStyle w:val="ListParagraph"/>
        <w:numPr>
          <w:ilvl w:val="0"/>
          <w:numId w:val="2"/>
        </w:numPr>
        <w:spacing w:after="40" w:before="40" w:line="300"/>
      </w:pPr>
      <w:r>
        <w:rPr>
          <w:rFonts w:ascii="Calibri" w:cs="Calibri" w:eastAsia="Calibri" w:hAnsi="Calibri"/>
          <w:color w:val="1A202C"/>
          <w:sz w:val="22"/>
          <w:szCs w:val="22"/>
        </w:rPr>
        <w:t xml:space="preserve">White-label exports</w:t>
      </w:r>
    </w:p>
    <w:p>
      <w:pPr>
        <w:pStyle w:val="ListParagraph"/>
        <w:numPr>
          <w:ilvl w:val="0"/>
          <w:numId w:val="2"/>
        </w:numPr>
        <w:spacing w:after="40" w:before="40" w:line="300"/>
      </w:pPr>
      <w:r>
        <w:rPr>
          <w:rFonts w:ascii="Calibri" w:cs="Calibri" w:eastAsia="Calibri" w:hAnsi="Calibri"/>
          <w:color w:val="1A202C"/>
          <w:sz w:val="22"/>
          <w:szCs w:val="22"/>
        </w:rPr>
        <w:t xml:space="preserve">Client billing dashboard</w:t>
      </w:r>
    </w:p>
    <w:p>
      <w:pPr>
        <w:pStyle w:val="ListParagraph"/>
        <w:numPr>
          <w:ilvl w:val="0"/>
          <w:numId w:val="2"/>
        </w:numPr>
        <w:spacing w:after="40" w:before="40" w:line="300"/>
      </w:pPr>
      <w:r>
        <w:rPr>
          <w:rFonts w:ascii="Calibri" w:cs="Calibri" w:eastAsia="Calibri" w:hAnsi="Calibri"/>
          <w:color w:val="1A202C"/>
          <w:sz w:val="22"/>
          <w:szCs w:val="22"/>
        </w:rPr>
        <w:t xml:space="preserve">Onboarding for each new org</w:t>
      </w:r>
    </w:p>
    <w:p>
      <w:pPr>
        <w:pStyle w:val="ListParagraph"/>
        <w:numPr>
          <w:ilvl w:val="0"/>
          <w:numId w:val="2"/>
        </w:numPr>
        <w:spacing w:after="40" w:before="40" w:line="300"/>
      </w:pPr>
      <w:r>
        <w:rPr>
          <w:rFonts w:ascii="Calibri" w:cs="Calibri" w:eastAsia="Calibri" w:hAnsi="Calibri"/>
          <w:color w:val="1A202C"/>
          <w:sz w:val="22"/>
          <w:szCs w:val="22"/>
        </w:rPr>
        <w:t xml:space="preserve">Dedicated success manager</w:t>
      </w:r>
    </w:p>
    <w:p>
      <w:pPr>
        <w:pStyle w:val="Heading3"/>
        <w:spacing w:after="120" w:before="240"/>
      </w:pPr>
      <w:r>
        <w:rPr>
          <w:rFonts w:ascii="Calibri" w:cs="Calibri" w:eastAsia="Calibri" w:hAnsi="Calibri"/>
          <w:b/>
          <w:bCs/>
          <w:color w:val="B8954A"/>
          <w:sz w:val="22"/>
          <w:szCs w:val="22"/>
        </w:rPr>
        <w:t xml:space="preserve">Enterprise — Custom</w:t>
      </w:r>
    </w:p>
    <w:p>
      <w:pPr>
        <w:pStyle w:val="ListParagraph"/>
        <w:numPr>
          <w:ilvl w:val="0"/>
          <w:numId w:val="2"/>
        </w:numPr>
        <w:spacing w:after="40" w:before="40" w:line="300"/>
      </w:pPr>
      <w:r>
        <w:rPr>
          <w:rFonts w:ascii="Calibri" w:cs="Calibri" w:eastAsia="Calibri" w:hAnsi="Calibri"/>
          <w:color w:val="1A202C"/>
          <w:sz w:val="22"/>
          <w:szCs w:val="22"/>
        </w:rPr>
        <w:t xml:space="preserve">Unlimited orgs and users</w:t>
      </w:r>
    </w:p>
    <w:p>
      <w:pPr>
        <w:pStyle w:val="ListParagraph"/>
        <w:numPr>
          <w:ilvl w:val="0"/>
          <w:numId w:val="2"/>
        </w:numPr>
        <w:spacing w:after="40" w:before="40" w:line="300"/>
      </w:pPr>
      <w:r>
        <w:rPr>
          <w:rFonts w:ascii="Calibri" w:cs="Calibri" w:eastAsia="Calibri" w:hAnsi="Calibri"/>
          <w:color w:val="1A202C"/>
          <w:sz w:val="22"/>
          <w:szCs w:val="22"/>
        </w:rPr>
        <w:t xml:space="preserve">SOC 2 documentation</w:t>
      </w:r>
    </w:p>
    <w:p>
      <w:pPr>
        <w:pStyle w:val="ListParagraph"/>
        <w:numPr>
          <w:ilvl w:val="0"/>
          <w:numId w:val="2"/>
        </w:numPr>
        <w:spacing w:after="40" w:before="40" w:line="300"/>
      </w:pPr>
      <w:r>
        <w:rPr>
          <w:rFonts w:ascii="Calibri" w:cs="Calibri" w:eastAsia="Calibri" w:hAnsi="Calibri"/>
          <w:color w:val="1A202C"/>
          <w:sz w:val="22"/>
          <w:szCs w:val="22"/>
        </w:rPr>
        <w:t xml:space="preserve">Custom integrations and SSO</w:t>
      </w:r>
    </w:p>
    <w:p>
      <w:pPr>
        <w:pStyle w:val="ListParagraph"/>
        <w:numPr>
          <w:ilvl w:val="0"/>
          <w:numId w:val="2"/>
        </w:numPr>
        <w:spacing w:after="40" w:before="40" w:line="300"/>
      </w:pPr>
      <w:r>
        <w:rPr>
          <w:rFonts w:ascii="Calibri" w:cs="Calibri" w:eastAsia="Calibri" w:hAnsi="Calibri"/>
          <w:color w:val="1A202C"/>
          <w:sz w:val="22"/>
          <w:szCs w:val="22"/>
        </w:rPr>
        <w:t xml:space="preserve">Named customer success manager</w:t>
      </w:r>
    </w:p>
    <w:p>
      <w:pPr>
        <w:pStyle w:val="ListParagraph"/>
        <w:numPr>
          <w:ilvl w:val="0"/>
          <w:numId w:val="2"/>
        </w:numPr>
        <w:spacing w:after="40" w:before="40" w:line="300"/>
      </w:pPr>
      <w:r>
        <w:rPr>
          <w:rFonts w:ascii="Calibri" w:cs="Calibri" w:eastAsia="Calibri" w:hAnsi="Calibri"/>
          <w:color w:val="1A202C"/>
          <w:sz w:val="22"/>
          <w:szCs w:val="22"/>
        </w:rPr>
        <w:t xml:space="preserve">Dedicated infrastructure available</w:t>
      </w:r>
    </w:p>
    <w:p>
      <w:pPr>
        <w:pStyle w:val="ListParagraph"/>
        <w:numPr>
          <w:ilvl w:val="0"/>
          <w:numId w:val="2"/>
        </w:numPr>
        <w:spacing w:after="40" w:before="40" w:line="300"/>
      </w:pPr>
      <w:r>
        <w:rPr>
          <w:rFonts w:ascii="Calibri" w:cs="Calibri" w:eastAsia="Calibri" w:hAnsi="Calibri"/>
          <w:color w:val="1A202C"/>
          <w:sz w:val="22"/>
          <w:szCs w:val="22"/>
        </w:rPr>
        <w:t xml:space="preserve">Win-fee partnerships available</w:t>
      </w:r>
    </w:p>
    <w:p>
      <w:pPr>
        <w:pStyle w:val="Heading2"/>
        <w:spacing w:after="160" w:before="360"/>
      </w:pPr>
      <w:r>
        <w:rPr>
          <w:rFonts w:ascii="Calibri" w:cs="Calibri" w:eastAsia="Calibri" w:hAnsi="Calibri"/>
          <w:b/>
          <w:bCs/>
          <w:color w:val="0A0E1A"/>
          <w:sz w:val="28"/>
          <w:szCs w:val="28"/>
        </w:rPr>
        <w:t xml:space="preserve">5.7 Section: "Why not just use ChatGPT?"</w:t>
      </w:r>
    </w:p>
    <w:p>
      <w:pPr>
        <w:spacing w:after="120" w:before="80" w:line="320"/>
      </w:pPr>
      <w:r>
        <w:rPr>
          <w:rFonts w:ascii="Calibri" w:cs="Calibri" w:eastAsia="Calibri" w:hAnsi="Calibri"/>
          <w:color w:val="1A202C"/>
          <w:sz w:val="22"/>
          <w:szCs w:val="22"/>
        </w:rPr>
        <w:t xml:space="preserve">Three reasons:</w:t>
      </w:r>
    </w:p>
    <w:p>
      <w:pPr>
        <w:pStyle w:val="ListParagraph"/>
        <w:numPr>
          <w:ilvl w:val="0"/>
          <w:numId w:val="2"/>
        </w:numPr>
        <w:spacing w:after="40" w:before="40" w:line="300"/>
      </w:pPr>
      <w:r>
        <w:rPr>
          <w:rFonts w:ascii="Calibri" w:cs="Calibri" w:eastAsia="Calibri" w:hAnsi="Calibri"/>
          <w:color w:val="1A202C"/>
          <w:sz w:val="22"/>
          <w:szCs w:val="22"/>
        </w:rPr>
        <w:t xml:space="preserve">Generic AI writes generic prose. Funder reviewers can smell it. Voice fingerprinting is what makes our drafts read like you.</w:t>
      </w:r>
    </w:p>
    <w:p>
      <w:pPr>
        <w:pStyle w:val="ListParagraph"/>
        <w:numPr>
          <w:ilvl w:val="0"/>
          <w:numId w:val="2"/>
        </w:numPr>
        <w:spacing w:after="40" w:before="40" w:line="300"/>
      </w:pPr>
      <w:r>
        <w:rPr>
          <w:rFonts w:ascii="Calibri" w:cs="Calibri" w:eastAsia="Calibri" w:hAnsi="Calibri"/>
          <w:color w:val="1A202C"/>
          <w:sz w:val="22"/>
          <w:szCs w:val="22"/>
        </w:rPr>
        <w:t xml:space="preserve">Generic AI invents partners and statistics. Our vault-grounded drafting only cites artifacts you've uploaded, with [VERIFY] markers for anything else. This is non-negotiable for federal compliance.</w:t>
      </w:r>
    </w:p>
    <w:p>
      <w:pPr>
        <w:pStyle w:val="ListParagraph"/>
        <w:numPr>
          <w:ilvl w:val="0"/>
          <w:numId w:val="2"/>
        </w:numPr>
        <w:spacing w:after="40" w:before="40" w:line="300"/>
      </w:pPr>
      <w:r>
        <w:rPr>
          <w:rFonts w:ascii="Calibri" w:cs="Calibri" w:eastAsia="Calibri" w:hAnsi="Calibri"/>
          <w:color w:val="1A202C"/>
          <w:sz w:val="22"/>
          <w:szCs w:val="22"/>
        </w:rPr>
        <w:t xml:space="preserve">Generic AI has no audit trail. Federal funders increasingly ask how AI was used in your submission. We give you the log they need.</w:t>
      </w:r>
    </w:p>
    <w:p>
      <w:pPr>
        <w:pStyle w:val="Heading2"/>
        <w:spacing w:after="160" w:before="360"/>
      </w:pPr>
      <w:r>
        <w:rPr>
          <w:rFonts w:ascii="Calibri" w:cs="Calibri" w:eastAsia="Calibri" w:hAnsi="Calibri"/>
          <w:b/>
          <w:bCs/>
          <w:color w:val="0A0E1A"/>
          <w:sz w:val="28"/>
          <w:szCs w:val="28"/>
        </w:rPr>
        <w:t xml:space="preserve">5.8 Section: FAQ</w:t>
      </w:r>
    </w:p>
    <w:p>
      <w:pPr>
        <w:pStyle w:val="Heading3"/>
        <w:spacing w:after="120" w:before="240"/>
      </w:pPr>
      <w:r>
        <w:rPr>
          <w:rFonts w:ascii="Calibri" w:cs="Calibri" w:eastAsia="Calibri" w:hAnsi="Calibri"/>
          <w:b/>
          <w:bCs/>
          <w:color w:val="B8954A"/>
          <w:sz w:val="22"/>
          <w:szCs w:val="22"/>
        </w:rPr>
        <w:t xml:space="preserve">Will my data be used to train models?</w:t>
      </w:r>
    </w:p>
    <w:p>
      <w:pPr>
        <w:spacing w:after="120" w:before="80" w:line="320"/>
      </w:pPr>
      <w:r>
        <w:rPr>
          <w:rFonts w:ascii="Calibri" w:cs="Calibri" w:eastAsia="Calibri" w:hAnsi="Calibri"/>
          <w:color w:val="1A202C"/>
          <w:sz w:val="22"/>
          <w:szCs w:val="22"/>
        </w:rPr>
        <w:t xml:space="preserve">No. Vault content is yours and never enters any model training pipeline. Every prompt and response is logged for your audit, encrypted at rest with per-tenant keys.</w:t>
      </w:r>
    </w:p>
    <w:p>
      <w:pPr>
        <w:pStyle w:val="Heading3"/>
        <w:spacing w:after="120" w:before="240"/>
      </w:pPr>
      <w:r>
        <w:rPr>
          <w:rFonts w:ascii="Calibri" w:cs="Calibri" w:eastAsia="Calibri" w:hAnsi="Calibri"/>
          <w:b/>
          <w:bCs/>
          <w:color w:val="B8954A"/>
          <w:sz w:val="22"/>
          <w:szCs w:val="22"/>
        </w:rPr>
        <w:t xml:space="preserve">Can the engine submit on my behalf?</w:t>
      </w:r>
    </w:p>
    <w:p>
      <w:pPr>
        <w:spacing w:after="120" w:before="80" w:line="320"/>
      </w:pPr>
      <w:r>
        <w:rPr>
          <w:rFonts w:ascii="Calibri" w:cs="Calibri" w:eastAsia="Calibri" w:hAnsi="Calibri"/>
          <w:color w:val="1A202C"/>
          <w:sz w:val="22"/>
          <w:szCs w:val="22"/>
        </w:rPr>
        <w:t xml:space="preserve">By design, no. Final submission is always human. We get you to submit-ready, not past it. This protects you legally and keeps you in the loop.</w:t>
      </w:r>
    </w:p>
    <w:p>
      <w:pPr>
        <w:pStyle w:val="Heading3"/>
        <w:spacing w:after="120" w:before="240"/>
      </w:pPr>
      <w:r>
        <w:rPr>
          <w:rFonts w:ascii="Calibri" w:cs="Calibri" w:eastAsia="Calibri" w:hAnsi="Calibri"/>
          <w:b/>
          <w:bCs/>
          <w:color w:val="B8954A"/>
          <w:sz w:val="22"/>
          <w:szCs w:val="22"/>
        </w:rPr>
        <w:t xml:space="preserve">How accurate are the win probability estimates?</w:t>
      </w:r>
    </w:p>
    <w:p>
      <w:pPr>
        <w:spacing w:after="120" w:before="80" w:line="320"/>
      </w:pPr>
      <w:r>
        <w:rPr>
          <w:rFonts w:ascii="Calibri" w:cs="Calibri" w:eastAsia="Calibri" w:hAnsi="Calibri"/>
          <w:color w:val="1A202C"/>
          <w:sz w:val="22"/>
          <w:szCs w:val="22"/>
        </w:rPr>
        <w:t xml:space="preserve">They are calibrated against your past wins and historical funder data. They are guidance, not gospel. As you win and lose with the engine, they sharpen.</w:t>
      </w:r>
    </w:p>
    <w:p>
      <w:pPr>
        <w:pStyle w:val="Heading3"/>
        <w:spacing w:after="120" w:before="240"/>
      </w:pPr>
      <w:r>
        <w:rPr>
          <w:rFonts w:ascii="Calibri" w:cs="Calibri" w:eastAsia="Calibri" w:hAnsi="Calibri"/>
          <w:b/>
          <w:bCs/>
          <w:color w:val="B8954A"/>
          <w:sz w:val="22"/>
          <w:szCs w:val="22"/>
        </w:rPr>
        <w:t xml:space="preserve">Do you replace our grant writer?</w:t>
      </w:r>
    </w:p>
    <w:p>
      <w:pPr>
        <w:spacing w:after="120" w:before="80" w:line="320"/>
      </w:pPr>
      <w:r>
        <w:rPr>
          <w:rFonts w:ascii="Calibri" w:cs="Calibri" w:eastAsia="Calibri" w:hAnsi="Calibri"/>
          <w:color w:val="1A202C"/>
          <w:sz w:val="22"/>
          <w:szCs w:val="22"/>
        </w:rPr>
        <w:t xml:space="preserve">Most teams find their writer becomes 3-5x more productive with the engine, taking on more proposals at higher quality. The job changes from writing first drafts to directing the agent and editing for excellence.</w:t>
      </w:r>
    </w:p>
    <w:p>
      <w:pPr>
        <w:pStyle w:val="Heading3"/>
        <w:spacing w:after="120" w:before="240"/>
      </w:pPr>
      <w:r>
        <w:rPr>
          <w:rFonts w:ascii="Calibri" w:cs="Calibri" w:eastAsia="Calibri" w:hAnsi="Calibri"/>
          <w:b/>
          <w:bCs/>
          <w:color w:val="B8954A"/>
          <w:sz w:val="22"/>
          <w:szCs w:val="22"/>
        </w:rPr>
        <w:t xml:space="preserve">Is this legal for federal proposals?</w:t>
      </w:r>
    </w:p>
    <w:p>
      <w:pPr>
        <w:spacing w:after="120" w:before="80" w:line="320"/>
      </w:pPr>
      <w:r>
        <w:rPr>
          <w:rFonts w:ascii="Calibri" w:cs="Calibri" w:eastAsia="Calibri" w:hAnsi="Calibri"/>
          <w:color w:val="1A202C"/>
          <w:sz w:val="22"/>
          <w:szCs w:val="22"/>
        </w:rPr>
        <w:t xml:space="preserve">Yes. Federal funders increasingly accept and expect AI assistance in proposal preparation, with proper disclosure. Our audit log produces the documentation you need. We are not a substitute for legal counsel; consult yours for your specific jurisdiction and funder.</w:t>
      </w:r>
    </w:p>
    <w:p>
      <w:pPr>
        <w:pStyle w:val="Heading2"/>
        <w:spacing w:after="160" w:before="360"/>
      </w:pPr>
      <w:r>
        <w:rPr>
          <w:rFonts w:ascii="Calibri" w:cs="Calibri" w:eastAsia="Calibri" w:hAnsi="Calibri"/>
          <w:b/>
          <w:bCs/>
          <w:color w:val="0A0E1A"/>
          <w:sz w:val="28"/>
          <w:szCs w:val="28"/>
        </w:rPr>
        <w:t xml:space="preserve">5.9 Final CTA block</w:t>
      </w:r>
    </w:p>
    <w:p>
      <w:pPr>
        <w:pStyle w:val="Heading3"/>
        <w:spacing w:after="120" w:before="240"/>
      </w:pPr>
      <w:r>
        <w:rPr>
          <w:rFonts w:ascii="Calibri" w:cs="Calibri" w:eastAsia="Calibri" w:hAnsi="Calibri"/>
          <w:b/>
          <w:bCs/>
          <w:color w:val="B8954A"/>
          <w:sz w:val="22"/>
          <w:szCs w:val="22"/>
        </w:rPr>
        <w:t xml:space="preserve">Headline</w:t>
      </w:r>
    </w:p>
    <w:p>
      <w:pPr>
        <w:spacing w:after="120" w:before="80" w:line="320"/>
      </w:pPr>
      <w:r>
        <w:rPr>
          <w:rFonts w:ascii="Calibri" w:cs="Calibri" w:eastAsia="Calibri" w:hAnsi="Calibri"/>
          <w:b/>
          <w:bCs/>
          <w:color w:val="1A202C"/>
          <w:sz w:val="36"/>
          <w:szCs w:val="36"/>
        </w:rPr>
        <w:t xml:space="preserve">Stop missing the grants you should be winning.</w:t>
      </w:r>
    </w:p>
    <w:p>
      <w:pPr>
        <w:pStyle w:val="Heading3"/>
        <w:spacing w:after="120" w:before="240"/>
      </w:pPr>
      <w:r>
        <w:rPr>
          <w:rFonts w:ascii="Calibri" w:cs="Calibri" w:eastAsia="Calibri" w:hAnsi="Calibri"/>
          <w:b/>
          <w:bCs/>
          <w:color w:val="B8954A"/>
          <w:sz w:val="22"/>
          <w:szCs w:val="22"/>
        </w:rPr>
        <w:t xml:space="preserve">Subhead</w:t>
      </w:r>
    </w:p>
    <w:p>
      <w:pPr>
        <w:spacing w:after="120" w:before="80" w:line="320"/>
      </w:pPr>
      <w:r>
        <w:rPr>
          <w:rFonts w:ascii="Calibri" w:cs="Calibri" w:eastAsia="Calibri" w:hAnsi="Calibri"/>
          <w:color w:val="1A202C"/>
          <w:sz w:val="22"/>
          <w:szCs w:val="22"/>
        </w:rPr>
        <w:t xml:space="preserve">Sign up in 60 seconds. See real opportunities matched to your org before you pay a dollar.</w:t>
      </w:r>
    </w:p>
    <w:p>
      <w:pPr>
        <w:spacing w:after="120" w:before="80" w:line="320"/>
      </w:pPr>
      <w:r>
        <w:rPr>
          <w:rFonts w:ascii="Calibri" w:cs="Calibri" w:eastAsia="Calibri" w:hAnsi="Calibri"/>
          <w:color w:val="1A202C"/>
          <w:sz w:val="22"/>
          <w:szCs w:val="22"/>
        </w:rPr>
        <w:t xml:space="preserve">→ Start free trial</w:t>
      </w:r>
    </w:p>
    <w:p>
      <w:pPr>
        <w:spacing w:after="120" w:before="80" w:line="320"/>
      </w:pPr>
      <w:r>
        <w:rPr>
          <w:rFonts w:ascii="Calibri" w:cs="Calibri" w:eastAsia="Calibri" w:hAnsi="Calibri"/>
          <w:color w:val="1A202C"/>
          <w:sz w:val="22"/>
          <w:szCs w:val="22"/>
        </w:rPr>
        <w:t xml:space="preserve">→ Book a 15-minute demo</w:t>
      </w:r>
    </w:p>
    <w:p>
      <w:pPr>
        <w:pageBreakBefore/>
      </w:pPr>
    </w:p>
    <w:p>
      <w:pPr>
        <w:pStyle w:val="Heading1"/>
        <w:spacing w:after="200" w:before="480"/>
      </w:pPr>
      <w:r>
        <w:rPr>
          <w:rFonts w:ascii="Calibri" w:cs="Calibri" w:eastAsia="Calibri" w:hAnsi="Calibri"/>
          <w:b/>
          <w:bCs/>
          <w:color w:val="0A0E1A"/>
          <w:sz w:val="36"/>
          <w:szCs w:val="36"/>
        </w:rPr>
        <w:t xml:space="preserve">6. Outreach Email Templates</w:t>
      </w:r>
    </w:p>
    <w:p>
      <w:pPr>
        <w:pStyle w:val="Heading2"/>
        <w:spacing w:after="160" w:before="360"/>
      </w:pPr>
      <w:r>
        <w:rPr>
          <w:rFonts w:ascii="Calibri" w:cs="Calibri" w:eastAsia="Calibri" w:hAnsi="Calibri"/>
          <w:b/>
          <w:bCs/>
          <w:color w:val="0A0E1A"/>
          <w:sz w:val="28"/>
          <w:szCs w:val="28"/>
        </w:rPr>
        <w:t xml:space="preserve">6.1 Cold to executive director (nonprofit)</w:t>
      </w:r>
    </w:p>
    <w:p>
      <w:pPr>
        <w:spacing w:after="120" w:before="80" w:line="320"/>
      </w:pPr>
      <w:r>
        <w:rPr>
          <w:rFonts w:ascii="Calibri" w:cs="Calibri" w:eastAsia="Calibri" w:hAnsi="Calibri"/>
          <w:color w:val="1A202C"/>
          <w:sz w:val="22"/>
          <w:szCs w:val="22"/>
        </w:rPr>
        <w:t xml:space="preserve">Subject: 3 RFPs that fit [Org Name] this week</w:t>
      </w:r>
    </w:p>
    <w:p>
      <w:pPr>
        <w:spacing w:after="120" w:before="80" w:line="320"/>
      </w:pPr>
      <w:r>
        <w:rPr>
          <w:rFonts w:ascii="Calibri" w:cs="Calibri" w:eastAsia="Calibri" w:hAnsi="Calibri"/>
          <w:color w:val="1A202C"/>
          <w:sz w:val="22"/>
          <w:szCs w:val="22"/>
        </w:rPr>
        <w:t xml:space="preserve">Hi [Name],</w:t>
      </w:r>
    </w:p>
    <w:p>
      <w:pPr>
        <w:spacing w:after="120" w:before="80" w:line="320"/>
      </w:pPr>
      <w:r>
        <w:rPr>
          <w:rFonts w:ascii="Calibri" w:cs="Calibri" w:eastAsia="Calibri" w:hAnsi="Calibri"/>
          <w:color w:val="1A202C"/>
          <w:sz w:val="22"/>
          <w:szCs w:val="22"/>
        </w:rPr>
        <w:t xml:space="preserve">Quick note. I run an AI tool that scans federal, state, NYC, and foundation sources every six hours and surfaces fits for organizations like yours. This morning I pulled three opportunities that match [Org Name]'s workforce dev profile:</w:t>
      </w:r>
    </w:p>
    <w:p>
      <w:pPr>
        <w:spacing w:after="120" w:before="80" w:line="320"/>
      </w:pPr>
      <w:r>
        <w:rPr>
          <w:rFonts w:ascii="Calibri" w:cs="Calibri" w:eastAsia="Calibri" w:hAnsi="Calibri"/>
          <w:color w:val="1A202C"/>
          <w:sz w:val="22"/>
          <w:szCs w:val="22"/>
        </w:rPr>
        <w:t xml:space="preserve">  •  [Funder] — [Program] — [Amount] — [Deadline]</w:t>
      </w:r>
    </w:p>
    <w:p>
      <w:pPr>
        <w:spacing w:after="120" w:before="80" w:line="320"/>
      </w:pPr>
      <w:r>
        <w:rPr>
          <w:rFonts w:ascii="Calibri" w:cs="Calibri" w:eastAsia="Calibri" w:hAnsi="Calibri"/>
          <w:color w:val="1A202C"/>
          <w:sz w:val="22"/>
          <w:szCs w:val="22"/>
        </w:rPr>
        <w:t xml:space="preserve">  •  [Funder] — [Program] — [Amount] — [Deadline]</w:t>
      </w:r>
    </w:p>
    <w:p>
      <w:pPr>
        <w:spacing w:after="120" w:before="80" w:line="320"/>
      </w:pPr>
      <w:r>
        <w:rPr>
          <w:rFonts w:ascii="Calibri" w:cs="Calibri" w:eastAsia="Calibri" w:hAnsi="Calibri"/>
          <w:color w:val="1A202C"/>
          <w:sz w:val="22"/>
          <w:szCs w:val="22"/>
        </w:rPr>
        <w:t xml:space="preserve">  •  [Funder] — [Program] — [Amount] — [Deadline]</w:t>
      </w:r>
    </w:p>
    <w:p>
      <w:pPr>
        <w:spacing w:after="120" w:before="80" w:line="320"/>
      </w:pPr>
      <w:r>
        <w:rPr>
          <w:rFonts w:ascii="Calibri" w:cs="Calibri" w:eastAsia="Calibri" w:hAnsi="Calibri"/>
          <w:color w:val="1A202C"/>
          <w:sz w:val="22"/>
          <w:szCs w:val="22"/>
        </w:rPr>
        <w:t xml:space="preserve">Want me to send the briefs? Free, no strings. If you like what you see I'll show you what we built.</w:t>
      </w:r>
    </w:p>
    <w:p>
      <w:pPr>
        <w:spacing w:after="120" w:before="80" w:line="320"/>
      </w:pPr>
      <w:r>
        <w:rPr>
          <w:rFonts w:ascii="Calibri" w:cs="Calibri" w:eastAsia="Calibri" w:hAnsi="Calibri"/>
          <w:color w:val="1A202C"/>
          <w:sz w:val="22"/>
          <w:szCs w:val="22"/>
        </w:rPr>
        <w:t xml:space="preserve">Lorenzo Daughtry-Chambers</w:t>
      </w:r>
    </w:p>
    <w:p>
      <w:pPr>
        <w:spacing w:after="120" w:before="80" w:line="320"/>
      </w:pPr>
      <w:r>
        <w:rPr>
          <w:rFonts w:ascii="Calibri" w:cs="Calibri" w:eastAsia="Calibri" w:hAnsi="Calibri"/>
          <w:color w:val="1A202C"/>
          <w:sz w:val="22"/>
          <w:szCs w:val="22"/>
        </w:rPr>
        <w:t xml:space="preserve">Founder, The Perpetual Core</w:t>
      </w:r>
    </w:p>
    <w:p>
      <w:pPr>
        <w:pStyle w:val="Heading2"/>
        <w:spacing w:after="160" w:before="360"/>
      </w:pPr>
      <w:r>
        <w:rPr>
          <w:rFonts w:ascii="Calibri" w:cs="Calibri" w:eastAsia="Calibri" w:hAnsi="Calibri"/>
          <w:b/>
          <w:bCs/>
          <w:color w:val="0A0E1A"/>
          <w:sz w:val="28"/>
          <w:szCs w:val="28"/>
        </w:rPr>
        <w:t xml:space="preserve">6.2 Cold to founder (mission-driven for-profit)</w:t>
      </w:r>
    </w:p>
    <w:p>
      <w:pPr>
        <w:spacing w:after="120" w:before="80" w:line="320"/>
      </w:pPr>
      <w:r>
        <w:rPr>
          <w:rFonts w:ascii="Calibri" w:cs="Calibri" w:eastAsia="Calibri" w:hAnsi="Calibri"/>
          <w:color w:val="1A202C"/>
          <w:sz w:val="22"/>
          <w:szCs w:val="22"/>
        </w:rPr>
        <w:t xml:space="preserve">Subject: SBIRs and IDIQs you're missing</w:t>
      </w:r>
    </w:p>
    <w:p>
      <w:pPr>
        <w:spacing w:after="120" w:before="80" w:line="320"/>
      </w:pPr>
      <w:r>
        <w:rPr>
          <w:rFonts w:ascii="Calibri" w:cs="Calibri" w:eastAsia="Calibri" w:hAnsi="Calibri"/>
          <w:color w:val="1A202C"/>
          <w:sz w:val="22"/>
          <w:szCs w:val="22"/>
        </w:rPr>
        <w:t xml:space="preserve">Hi [Name],</w:t>
      </w:r>
    </w:p>
    <w:p>
      <w:pPr>
        <w:spacing w:after="120" w:before="80" w:line="320"/>
      </w:pPr>
      <w:r>
        <w:rPr>
          <w:rFonts w:ascii="Calibri" w:cs="Calibri" w:eastAsia="Calibri" w:hAnsi="Calibri"/>
          <w:color w:val="1A202C"/>
          <w:sz w:val="22"/>
          <w:szCs w:val="22"/>
        </w:rPr>
        <w:t xml:space="preserve">If you're spending a day a week chasing federal opportunities and another day writing the response, we should talk. Perpetual Core RFP &amp; Proposal Engine pulls SBIRs, GSA IDIQs, and SAM.gov contracts that fit your NAICS, scores them against your past wins, and drafts the response in your company's voice.</w:t>
      </w:r>
    </w:p>
    <w:p>
      <w:pPr>
        <w:spacing w:after="120" w:before="80" w:line="320"/>
      </w:pPr>
      <w:r>
        <w:rPr>
          <w:rFonts w:ascii="Calibri" w:cs="Calibri" w:eastAsia="Calibri" w:hAnsi="Calibri"/>
          <w:color w:val="1A202C"/>
          <w:sz w:val="22"/>
          <w:szCs w:val="22"/>
        </w:rPr>
        <w:t xml:space="preserve">I'd send a sample for [Company Name] but I don't want to be that guy. Want to see one if I send it anyway?</w:t>
      </w:r>
    </w:p>
    <w:p>
      <w:pPr>
        <w:spacing w:after="120" w:before="80" w:line="320"/>
      </w:pPr>
      <w:r>
        <w:rPr>
          <w:rFonts w:ascii="Calibri" w:cs="Calibri" w:eastAsia="Calibri" w:hAnsi="Calibri"/>
          <w:color w:val="1A202C"/>
          <w:sz w:val="22"/>
          <w:szCs w:val="22"/>
        </w:rPr>
        <w:t xml:space="preserve">Lorenzo</w:t>
      </w:r>
    </w:p>
    <w:p>
      <w:pPr>
        <w:pStyle w:val="Heading2"/>
        <w:spacing w:after="160" w:before="360"/>
      </w:pPr>
      <w:r>
        <w:rPr>
          <w:rFonts w:ascii="Calibri" w:cs="Calibri" w:eastAsia="Calibri" w:hAnsi="Calibri"/>
          <w:b/>
          <w:bCs/>
          <w:color w:val="0A0E1A"/>
          <w:sz w:val="28"/>
          <w:szCs w:val="28"/>
        </w:rPr>
        <w:t xml:space="preserve">6.3 Warm to design partner</w:t>
      </w:r>
    </w:p>
    <w:p>
      <w:pPr>
        <w:spacing w:after="120" w:before="80" w:line="320"/>
      </w:pPr>
      <w:r>
        <w:rPr>
          <w:rFonts w:ascii="Calibri" w:cs="Calibri" w:eastAsia="Calibri" w:hAnsi="Calibri"/>
          <w:color w:val="1A202C"/>
          <w:sz w:val="22"/>
          <w:szCs w:val="22"/>
        </w:rPr>
        <w:t xml:space="preserve">Subject: Want 60 days of free Pro access?</w:t>
      </w:r>
    </w:p>
    <w:p>
      <w:pPr>
        <w:spacing w:after="120" w:before="80" w:line="320"/>
      </w:pPr>
      <w:r>
        <w:rPr>
          <w:rFonts w:ascii="Calibri" w:cs="Calibri" w:eastAsia="Calibri" w:hAnsi="Calibri"/>
          <w:color w:val="1A202C"/>
          <w:sz w:val="22"/>
          <w:szCs w:val="22"/>
        </w:rPr>
        <w:t xml:space="preserve">Hi [Name],</w:t>
      </w:r>
    </w:p>
    <w:p>
      <w:pPr>
        <w:spacing w:after="120" w:before="80" w:line="320"/>
      </w:pPr>
      <w:r>
        <w:rPr>
          <w:rFonts w:ascii="Calibri" w:cs="Calibri" w:eastAsia="Calibri" w:hAnsi="Calibri"/>
          <w:color w:val="1A202C"/>
          <w:sz w:val="22"/>
          <w:szCs w:val="22"/>
        </w:rPr>
        <w:t xml:space="preserve">Building something I want you in on. Perpetual Core RFP &amp; Proposal Engine — the AI capture team you couldn't afford to hire. Discovery + drafting + compliance, voice-trained on your wins.</w:t>
      </w:r>
    </w:p>
    <w:p>
      <w:pPr>
        <w:spacing w:after="120" w:before="80" w:line="320"/>
      </w:pPr>
      <w:r>
        <w:rPr>
          <w:rFonts w:ascii="Calibri" w:cs="Calibri" w:eastAsia="Calibri" w:hAnsi="Calibri"/>
          <w:color w:val="1A202C"/>
          <w:sz w:val="22"/>
          <w:szCs w:val="22"/>
        </w:rPr>
        <w:t xml:space="preserve">I'm picking 15 design partners. 60 days free Pro access (normally $799/mo). The trade is: feedback, and if you want to win something with it, a case study.</w:t>
      </w:r>
    </w:p>
    <w:p>
      <w:pPr>
        <w:spacing w:after="120" w:before="80" w:line="320"/>
      </w:pPr>
      <w:r>
        <w:rPr>
          <w:rFonts w:ascii="Calibri" w:cs="Calibri" w:eastAsia="Calibri" w:hAnsi="Calibri"/>
          <w:color w:val="1A202C"/>
          <w:sz w:val="22"/>
          <w:szCs w:val="22"/>
        </w:rPr>
        <w:t xml:space="preserve">If you say yes I'll have you onboarded by Friday.</w:t>
      </w:r>
    </w:p>
    <w:p>
      <w:pPr>
        <w:spacing w:after="120" w:before="80" w:line="320"/>
      </w:pPr>
      <w:r>
        <w:rPr>
          <w:rFonts w:ascii="Calibri" w:cs="Calibri" w:eastAsia="Calibri" w:hAnsi="Calibri"/>
          <w:color w:val="1A202C"/>
          <w:sz w:val="22"/>
          <w:szCs w:val="22"/>
        </w:rPr>
        <w:t xml:space="preserve">Lorenzo</w:t>
      </w:r>
    </w:p>
    <w:p>
      <w:pPr>
        <w:pageBreakBefore/>
      </w:pPr>
    </w:p>
    <w:p>
      <w:pPr>
        <w:pStyle w:val="Heading1"/>
        <w:spacing w:after="200" w:before="480"/>
      </w:pPr>
      <w:r>
        <w:rPr>
          <w:rFonts w:ascii="Calibri" w:cs="Calibri" w:eastAsia="Calibri" w:hAnsi="Calibri"/>
          <w:b/>
          <w:bCs/>
          <w:color w:val="0A0E1A"/>
          <w:sz w:val="36"/>
          <w:szCs w:val="36"/>
        </w:rPr>
        <w:t xml:space="preserve">7. Success Metrics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700"/>
        <w:gridCol w:w="1700"/>
        <w:gridCol w:w="1860"/>
      </w:tblGrid>
      <w:tr>
        <w:tc>
          <w:tcPr>
            <w:tcW w:type="dxa" w:w="2700"/>
            <w:tcBorders>
              <w:top w:val="single" w:color="D4D4D8" w:sz="1"/>
              <w:left w:val="single" w:color="D4D4D8" w:sz="1"/>
              <w:bottom w:val="single" w:color="D4D4D8" w:sz="1"/>
              <w:right w:val="single" w:color="D4D4D8" w:sz="1"/>
            </w:tcBorders>
            <w:shd w:fill="F7F5F0" w:val="clear"/>
            <w:tcMar>
              <w:top w:type="dxa" w:w="120"/>
              <w:left w:type="dxa" w:w="160"/>
              <w:bottom w:type="dxa" w:w="120"/>
              <w:right w:type="dxa" w:w="160"/>
            </w:tcMar>
          </w:tcPr>
          <w:p>
            <w:pPr>
              <w:jc w:val="left"/>
            </w:pPr>
            <w:r>
              <w:rPr>
                <w:rFonts w:ascii="Calibri" w:cs="Calibri" w:eastAsia="Calibri" w:hAnsi="Calibri"/>
                <w:b/>
                <w:bCs/>
                <w:color w:val="1A202C"/>
                <w:sz w:val="20"/>
                <w:szCs w:val="20"/>
              </w:rPr>
              <w:t xml:space="preserve">Metric</w:t>
            </w:r>
          </w:p>
        </w:tc>
        <w:tc>
          <w:tcPr>
            <w:tcW w:type="dxa" w:w="1700"/>
            <w:tcBorders>
              <w:top w:val="single" w:color="D4D4D8" w:sz="1"/>
              <w:left w:val="single" w:color="D4D4D8" w:sz="1"/>
              <w:bottom w:val="single" w:color="D4D4D8" w:sz="1"/>
              <w:right w:val="single" w:color="D4D4D8" w:sz="1"/>
            </w:tcBorders>
            <w:shd w:fill="F7F5F0" w:val="clear"/>
            <w:tcMar>
              <w:top w:type="dxa" w:w="120"/>
              <w:left w:type="dxa" w:w="160"/>
              <w:bottom w:type="dxa" w:w="120"/>
              <w:right w:type="dxa" w:w="160"/>
            </w:tcMar>
          </w:tcPr>
          <w:p>
            <w:pPr>
              <w:jc w:val="left"/>
            </w:pPr>
            <w:r>
              <w:rPr>
                <w:rFonts w:ascii="Calibri" w:cs="Calibri" w:eastAsia="Calibri" w:hAnsi="Calibri"/>
                <w:b/>
                <w:bCs/>
                <w:color w:val="1A202C"/>
                <w:sz w:val="20"/>
                <w:szCs w:val="20"/>
              </w:rPr>
              <w:t xml:space="preserve">30 days</w:t>
            </w:r>
          </w:p>
        </w:tc>
        <w:tc>
          <w:tcPr>
            <w:tcW w:type="dxa" w:w="1700"/>
            <w:tcBorders>
              <w:top w:val="single" w:color="D4D4D8" w:sz="1"/>
              <w:left w:val="single" w:color="D4D4D8" w:sz="1"/>
              <w:bottom w:val="single" w:color="D4D4D8" w:sz="1"/>
              <w:right w:val="single" w:color="D4D4D8" w:sz="1"/>
            </w:tcBorders>
            <w:shd w:fill="F7F5F0" w:val="clear"/>
            <w:tcMar>
              <w:top w:type="dxa" w:w="120"/>
              <w:left w:type="dxa" w:w="160"/>
              <w:bottom w:type="dxa" w:w="120"/>
              <w:right w:type="dxa" w:w="160"/>
            </w:tcMar>
          </w:tcPr>
          <w:p>
            <w:pPr>
              <w:jc w:val="left"/>
            </w:pPr>
            <w:r>
              <w:rPr>
                <w:rFonts w:ascii="Calibri" w:cs="Calibri" w:eastAsia="Calibri" w:hAnsi="Calibri"/>
                <w:b/>
                <w:bCs/>
                <w:color w:val="1A202C"/>
                <w:sz w:val="20"/>
                <w:szCs w:val="20"/>
              </w:rPr>
              <w:t xml:space="preserve">90 days</w:t>
            </w:r>
          </w:p>
        </w:tc>
        <w:tc>
          <w:tcPr>
            <w:tcW w:type="dxa" w:w="1700"/>
            <w:tcBorders>
              <w:top w:val="single" w:color="D4D4D8" w:sz="1"/>
              <w:left w:val="single" w:color="D4D4D8" w:sz="1"/>
              <w:bottom w:val="single" w:color="D4D4D8" w:sz="1"/>
              <w:right w:val="single" w:color="D4D4D8" w:sz="1"/>
            </w:tcBorders>
            <w:shd w:fill="F7F5F0" w:val="clear"/>
            <w:tcMar>
              <w:top w:type="dxa" w:w="120"/>
              <w:left w:type="dxa" w:w="160"/>
              <w:bottom w:type="dxa" w:w="120"/>
              <w:right w:type="dxa" w:w="160"/>
            </w:tcMar>
          </w:tcPr>
          <w:p>
            <w:pPr>
              <w:jc w:val="left"/>
            </w:pPr>
            <w:r>
              <w:rPr>
                <w:rFonts w:ascii="Calibri" w:cs="Calibri" w:eastAsia="Calibri" w:hAnsi="Calibri"/>
                <w:b/>
                <w:bCs/>
                <w:color w:val="1A202C"/>
                <w:sz w:val="20"/>
                <w:szCs w:val="20"/>
              </w:rPr>
              <w:t xml:space="preserve">180 days</w:t>
            </w:r>
          </w:p>
        </w:tc>
        <w:tc>
          <w:tcPr>
            <w:tcW w:type="dxa" w:w="1860"/>
            <w:tcBorders>
              <w:top w:val="single" w:color="D4D4D8" w:sz="1"/>
              <w:left w:val="single" w:color="D4D4D8" w:sz="1"/>
              <w:bottom w:val="single" w:color="D4D4D8" w:sz="1"/>
              <w:right w:val="single" w:color="D4D4D8" w:sz="1"/>
            </w:tcBorders>
            <w:shd w:fill="F7F5F0" w:val="clear"/>
            <w:tcMar>
              <w:top w:type="dxa" w:w="120"/>
              <w:left w:type="dxa" w:w="160"/>
              <w:bottom w:type="dxa" w:w="120"/>
              <w:right w:type="dxa" w:w="160"/>
            </w:tcMar>
          </w:tcPr>
          <w:p>
            <w:pPr>
              <w:jc w:val="left"/>
            </w:pPr>
            <w:r>
              <w:rPr>
                <w:rFonts w:ascii="Calibri" w:cs="Calibri" w:eastAsia="Calibri" w:hAnsi="Calibri"/>
                <w:b/>
                <w:bCs/>
                <w:color w:val="1A202C"/>
                <w:sz w:val="20"/>
                <w:szCs w:val="20"/>
              </w:rPr>
              <w:t xml:space="preserve">365 days</w:t>
            </w:r>
          </w:p>
        </w:tc>
      </w:tr>
      <w:tr>
        <w:tc>
          <w:tcPr>
            <w:tcW w:type="dxa" w:w="2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Internal Uplift submissions</w:t>
            </w:r>
          </w:p>
        </w:tc>
        <w:tc>
          <w:tcPr>
            <w:tcW w:type="dxa" w:w="1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5</w:t>
            </w:r>
          </w:p>
        </w:tc>
        <w:tc>
          <w:tcPr>
            <w:tcW w:type="dxa" w:w="1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15</w:t>
            </w:r>
          </w:p>
        </w:tc>
        <w:tc>
          <w:tcPr>
            <w:tcW w:type="dxa" w:w="1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30</w:t>
            </w:r>
          </w:p>
        </w:tc>
        <w:tc>
          <w:tcPr>
            <w:tcW w:type="dxa" w:w="18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50</w:t>
            </w:r>
          </w:p>
        </w:tc>
      </w:tr>
      <w:tr>
        <w:tc>
          <w:tcPr>
            <w:tcW w:type="dxa" w:w="2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Internal win rate</w:t>
            </w:r>
          </w:p>
        </w:tc>
        <w:tc>
          <w:tcPr>
            <w:tcW w:type="dxa" w:w="1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w:t>
            </w:r>
          </w:p>
        </w:tc>
        <w:tc>
          <w:tcPr>
            <w:tcW w:type="dxa" w:w="1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≥25%</w:t>
            </w:r>
          </w:p>
        </w:tc>
        <w:tc>
          <w:tcPr>
            <w:tcW w:type="dxa" w:w="1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≥30%</w:t>
            </w:r>
          </w:p>
        </w:tc>
        <w:tc>
          <w:tcPr>
            <w:tcW w:type="dxa" w:w="18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≥35%</w:t>
            </w:r>
          </w:p>
        </w:tc>
      </w:tr>
      <w:tr>
        <w:tc>
          <w:tcPr>
            <w:tcW w:type="dxa" w:w="2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Design partners onboarded</w:t>
            </w:r>
          </w:p>
        </w:tc>
        <w:tc>
          <w:tcPr>
            <w:tcW w:type="dxa" w:w="1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5</w:t>
            </w:r>
          </w:p>
        </w:tc>
        <w:tc>
          <w:tcPr>
            <w:tcW w:type="dxa" w:w="1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15</w:t>
            </w:r>
          </w:p>
        </w:tc>
        <w:tc>
          <w:tcPr>
            <w:tcW w:type="dxa" w:w="1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25</w:t>
            </w:r>
          </w:p>
        </w:tc>
        <w:tc>
          <w:tcPr>
            <w:tcW w:type="dxa" w:w="18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w:t>
            </w:r>
          </w:p>
        </w:tc>
      </w:tr>
      <w:tr>
        <w:tc>
          <w:tcPr>
            <w:tcW w:type="dxa" w:w="2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Paying customers</w:t>
            </w:r>
          </w:p>
        </w:tc>
        <w:tc>
          <w:tcPr>
            <w:tcW w:type="dxa" w:w="1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0</w:t>
            </w:r>
          </w:p>
        </w:tc>
        <w:tc>
          <w:tcPr>
            <w:tcW w:type="dxa" w:w="1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10</w:t>
            </w:r>
          </w:p>
        </w:tc>
        <w:tc>
          <w:tcPr>
            <w:tcW w:type="dxa" w:w="1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75</w:t>
            </w:r>
          </w:p>
        </w:tc>
        <w:tc>
          <w:tcPr>
            <w:tcW w:type="dxa" w:w="18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500</w:t>
            </w:r>
          </w:p>
        </w:tc>
      </w:tr>
      <w:tr>
        <w:tc>
          <w:tcPr>
            <w:tcW w:type="dxa" w:w="2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MRR</w:t>
            </w:r>
          </w:p>
        </w:tc>
        <w:tc>
          <w:tcPr>
            <w:tcW w:type="dxa" w:w="1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$0</w:t>
            </w:r>
          </w:p>
        </w:tc>
        <w:tc>
          <w:tcPr>
            <w:tcW w:type="dxa" w:w="1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$8K</w:t>
            </w:r>
          </w:p>
        </w:tc>
        <w:tc>
          <w:tcPr>
            <w:tcW w:type="dxa" w:w="1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$60K</w:t>
            </w:r>
          </w:p>
        </w:tc>
        <w:tc>
          <w:tcPr>
            <w:tcW w:type="dxa" w:w="18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$400K</w:t>
            </w:r>
          </w:p>
        </w:tc>
      </w:tr>
      <w:tr>
        <w:tc>
          <w:tcPr>
            <w:tcW w:type="dxa" w:w="2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ARR run rate</w:t>
            </w:r>
          </w:p>
        </w:tc>
        <w:tc>
          <w:tcPr>
            <w:tcW w:type="dxa" w:w="1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$0</w:t>
            </w:r>
          </w:p>
        </w:tc>
        <w:tc>
          <w:tcPr>
            <w:tcW w:type="dxa" w:w="1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$96K</w:t>
            </w:r>
          </w:p>
        </w:tc>
        <w:tc>
          <w:tcPr>
            <w:tcW w:type="dxa" w:w="1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$720K</w:t>
            </w:r>
          </w:p>
        </w:tc>
        <w:tc>
          <w:tcPr>
            <w:tcW w:type="dxa" w:w="18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$4.8M</w:t>
            </w:r>
          </w:p>
        </w:tc>
      </w:tr>
      <w:tr>
        <w:tc>
          <w:tcPr>
            <w:tcW w:type="dxa" w:w="2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NPS</w:t>
            </w:r>
          </w:p>
        </w:tc>
        <w:tc>
          <w:tcPr>
            <w:tcW w:type="dxa" w:w="1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w:t>
            </w:r>
          </w:p>
        </w:tc>
        <w:tc>
          <w:tcPr>
            <w:tcW w:type="dxa" w:w="1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≥40</w:t>
            </w:r>
          </w:p>
        </w:tc>
        <w:tc>
          <w:tcPr>
            <w:tcW w:type="dxa" w:w="1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≥50</w:t>
            </w:r>
          </w:p>
        </w:tc>
        <w:tc>
          <w:tcPr>
            <w:tcW w:type="dxa" w:w="18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≥55</w:t>
            </w:r>
          </w:p>
        </w:tc>
      </w:tr>
      <w:tr>
        <w:tc>
          <w:tcPr>
            <w:tcW w:type="dxa" w:w="2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Logo retention (annual)</w:t>
            </w:r>
          </w:p>
        </w:tc>
        <w:tc>
          <w:tcPr>
            <w:tcW w:type="dxa" w:w="1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w:t>
            </w:r>
          </w:p>
        </w:tc>
        <w:tc>
          <w:tcPr>
            <w:tcW w:type="dxa" w:w="1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w:t>
            </w:r>
          </w:p>
        </w:tc>
        <w:tc>
          <w:tcPr>
            <w:tcW w:type="dxa" w:w="17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w:t>
            </w:r>
          </w:p>
        </w:tc>
        <w:tc>
          <w:tcPr>
            <w:tcW w:type="dxa" w:w="18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≥90%</w:t>
            </w:r>
          </w:p>
        </w:tc>
      </w:tr>
    </w:tbl>
    <w:p>
      <w:pPr>
        <w:spacing w:after="120" w:before="120"/>
      </w:pPr>
    </w:p>
    <w:p>
      <w:pPr>
        <w:spacing w:after="120" w:before="80" w:line="320"/>
      </w:pPr>
      <w:r>
        <w:rPr>
          <w:rFonts w:ascii="Calibri" w:cs="Calibri" w:eastAsia="Calibri" w:hAnsi="Calibri"/>
          <w:color w:val="1A202C"/>
          <w:sz w:val="22"/>
          <w:szCs w:val="22"/>
        </w:rPr>
        <w:t xml:space="preserve">$4.8M ARR run rate at 365 days, accelerating. $20M+ becomes the 24-30 month milestone with continued execution and capital.</w:t>
      </w:r>
    </w:p>
    <w:p>
      <w:pPr>
        <w:pStyle w:val="Heading1"/>
        <w:spacing w:after="200" w:before="480"/>
      </w:pPr>
      <w:r>
        <w:rPr>
          <w:rFonts w:ascii="Calibri" w:cs="Calibri" w:eastAsia="Calibri" w:hAnsi="Calibri"/>
          <w:b/>
          <w:bCs/>
          <w:color w:val="0A0E1A"/>
          <w:sz w:val="36"/>
          <w:szCs w:val="36"/>
        </w:rPr>
        <w:t xml:space="preserve">8. Risks and Honest Caveats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4000"/>
        <w:gridCol w:w="6360"/>
      </w:tblGrid>
      <w:tr>
        <w:tc>
          <w:tcPr>
            <w:tcW w:type="dxa" w:w="4000"/>
            <w:tcBorders>
              <w:top w:val="single" w:color="D4D4D8" w:sz="1"/>
              <w:left w:val="single" w:color="D4D4D8" w:sz="1"/>
              <w:bottom w:val="single" w:color="D4D4D8" w:sz="1"/>
              <w:right w:val="single" w:color="D4D4D8" w:sz="1"/>
            </w:tcBorders>
            <w:shd w:fill="F7F5F0" w:val="clear"/>
            <w:tcMar>
              <w:top w:type="dxa" w:w="120"/>
              <w:left w:type="dxa" w:w="160"/>
              <w:bottom w:type="dxa" w:w="120"/>
              <w:right w:type="dxa" w:w="160"/>
            </w:tcMar>
          </w:tcPr>
          <w:p>
            <w:pPr>
              <w:jc w:val="left"/>
            </w:pPr>
            <w:r>
              <w:rPr>
                <w:rFonts w:ascii="Calibri" w:cs="Calibri" w:eastAsia="Calibri" w:hAnsi="Calibri"/>
                <w:b/>
                <w:bCs/>
                <w:color w:val="1A202C"/>
                <w:sz w:val="20"/>
                <w:szCs w:val="20"/>
              </w:rPr>
              <w:t xml:space="preserve">Risk</w:t>
            </w:r>
          </w:p>
        </w:tc>
        <w:tc>
          <w:tcPr>
            <w:tcW w:type="dxa" w:w="6360"/>
            <w:tcBorders>
              <w:top w:val="single" w:color="D4D4D8" w:sz="1"/>
              <w:left w:val="single" w:color="D4D4D8" w:sz="1"/>
              <w:bottom w:val="single" w:color="D4D4D8" w:sz="1"/>
              <w:right w:val="single" w:color="D4D4D8" w:sz="1"/>
            </w:tcBorders>
            <w:shd w:fill="F7F5F0" w:val="clear"/>
            <w:tcMar>
              <w:top w:type="dxa" w:w="120"/>
              <w:left w:type="dxa" w:w="160"/>
              <w:bottom w:type="dxa" w:w="120"/>
              <w:right w:type="dxa" w:w="160"/>
            </w:tcMar>
          </w:tcPr>
          <w:p>
            <w:pPr>
              <w:jc w:val="left"/>
            </w:pPr>
            <w:r>
              <w:rPr>
                <w:rFonts w:ascii="Calibri" w:cs="Calibri" w:eastAsia="Calibri" w:hAnsi="Calibri"/>
                <w:b/>
                <w:bCs/>
                <w:color w:val="1A202C"/>
                <w:sz w:val="20"/>
                <w:szCs w:val="20"/>
              </w:rPr>
              <w:t xml:space="preserve">Mitigation</w:t>
            </w:r>
          </w:p>
        </w:tc>
      </w:tr>
      <w:tr>
        <w:tc>
          <w:tcPr>
            <w:tcW w:type="dxa" w:w="40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Federal funders restrict AI use</w:t>
            </w:r>
          </w:p>
        </w:tc>
        <w:tc>
          <w:tcPr>
            <w:tcW w:type="dxa" w:w="63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Audit log and disclosure tooling; track regulatory environment monthly</w:t>
            </w:r>
          </w:p>
        </w:tc>
      </w:tr>
      <w:tr>
        <w:tc>
          <w:tcPr>
            <w:tcW w:type="dxa" w:w="40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Customer voice drift produces bad drafts</w:t>
            </w:r>
          </w:p>
        </w:tc>
        <w:tc>
          <w:tcPr>
            <w:tcW w:type="dxa" w:w="63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Quarterly Capture Profile refresh; in-product voice editor</w:t>
            </w:r>
          </w:p>
        </w:tc>
      </w:tr>
      <w:tr>
        <w:tc>
          <w:tcPr>
            <w:tcW w:type="dxa" w:w="40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Pricing too high for smallest CBOs</w:t>
            </w:r>
          </w:p>
        </w:tc>
        <w:tc>
          <w:tcPr>
            <w:tcW w:type="dxa" w:w="63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Starter tier at $299; consider scholarships for design partners</w:t>
            </w:r>
          </w:p>
        </w:tc>
      </w:tr>
      <w:tr>
        <w:tc>
          <w:tcPr>
            <w:tcW w:type="dxa" w:w="40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Capture consultants resist us</w:t>
            </w:r>
          </w:p>
        </w:tc>
        <w:tc>
          <w:tcPr>
            <w:tcW w:type="dxa" w:w="63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Affiliate program turns them into channel; Agency tier serves them directly</w:t>
            </w:r>
          </w:p>
        </w:tc>
      </w:tr>
      <w:tr>
        <w:tc>
          <w:tcPr>
            <w:tcW w:type="dxa" w:w="40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Big incumbents (Bonterra, Instrumentl) copy us</w:t>
            </w:r>
          </w:p>
        </w:tc>
        <w:tc>
          <w:tcPr>
            <w:tcW w:type="dxa" w:w="63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Voice fingerprinting and dogfooded case studies are our moat; ship faster</w:t>
            </w:r>
          </w:p>
        </w:tc>
      </w:tr>
      <w:tr>
        <w:tc>
          <w:tcPr>
            <w:tcW w:type="dxa" w:w="400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bCs/>
                <w:color w:val="1A202C"/>
                <w:sz w:val="20"/>
                <w:szCs w:val="20"/>
              </w:rPr>
              <w:t xml:space="preserve">Lorenzo bandwidth across IHA, Uplift, TPC, Perpetual</w:t>
            </w:r>
          </w:p>
        </w:tc>
        <w:tc>
          <w:tcPr>
            <w:tcW w:type="dxa" w:w="6360"/>
            <w:tcBorders>
              <w:top w:val="single" w:color="D4D4D8" w:sz="1"/>
              <w:left w:val="single" w:color="D4D4D8" w:sz="1"/>
              <w:bottom w:val="single" w:color="D4D4D8" w:sz="1"/>
              <w:right w:val="single" w:color="D4D4D8" w:sz="1"/>
            </w:tcBorders>
            <w:tcMar>
              <w:top w:type="dxa" w:w="120"/>
              <w:left w:type="dxa" w:w="160"/>
              <w:bottom w:type="dxa" w:w="120"/>
              <w:right w:type="dxa" w:w="160"/>
            </w:tcMar>
          </w:tcPr>
          <w:p>
            <w:pPr>
              <w:jc w:val="left"/>
            </w:pPr>
            <w:r>
              <w:rPr>
                <w:rFonts w:ascii="Calibri" w:cs="Calibri" w:eastAsia="Calibri" w:hAnsi="Calibri"/>
                <w:b w:val="false"/>
                <w:bCs w:val="false"/>
                <w:color w:val="1A202C"/>
                <w:sz w:val="20"/>
                <w:szCs w:val="20"/>
              </w:rPr>
              <w:t xml:space="preserve">Sarah on board, Achumboro on Uplift ops, dedicated GM hire by Day 120</w:t>
            </w:r>
          </w:p>
        </w:tc>
      </w:tr>
    </w:tbl>
    <w:p>
      <w:pPr>
        <w:pStyle w:val="Heading1"/>
        <w:spacing w:after="200" w:before="480"/>
      </w:pPr>
      <w:r>
        <w:rPr>
          <w:rFonts w:ascii="Calibri" w:cs="Calibri" w:eastAsia="Calibri" w:hAnsi="Calibri"/>
          <w:b/>
          <w:bCs/>
          <w:color w:val="0A0E1A"/>
          <w:sz w:val="36"/>
          <w:szCs w:val="36"/>
        </w:rPr>
        <w:t xml:space="preserve">9. Next 14 Days</w:t>
      </w:r>
    </w:p>
    <w:p>
      <w:pPr>
        <w:spacing w:after="120" w:before="80" w:line="320"/>
      </w:pPr>
      <w:r>
        <w:rPr>
          <w:rFonts w:ascii="Calibri" w:cs="Calibri" w:eastAsia="Calibri" w:hAnsi="Calibri"/>
          <w:color w:val="1A202C"/>
          <w:sz w:val="22"/>
          <w:szCs w:val="22"/>
        </w:rPr>
        <w:t xml:space="preserve">Concrete actions, in order:</w:t>
      </w:r>
    </w:p>
    <w:p>
      <w:pPr>
        <w:pStyle w:val="ListParagraph"/>
        <w:numPr>
          <w:ilvl w:val="0"/>
          <w:numId w:val="3"/>
        </w:numPr>
        <w:spacing w:after="60" w:before="60"/>
      </w:pPr>
      <w:r>
        <w:rPr>
          <w:rFonts w:ascii="Calibri" w:cs="Calibri" w:eastAsia="Calibri" w:hAnsi="Calibri"/>
          <w:sz w:val="22"/>
          <w:szCs w:val="22"/>
        </w:rPr>
        <w:t xml:space="preserve">Approve this GTM and the technical spec. Hand both to Claude Code with a short kickoff message.</w:t>
      </w:r>
    </w:p>
    <w:p>
      <w:pPr>
        <w:pStyle w:val="ListParagraph"/>
        <w:numPr>
          <w:ilvl w:val="0"/>
          <w:numId w:val="3"/>
        </w:numPr>
        <w:spacing w:after="60" w:before="60"/>
      </w:pPr>
      <w:r>
        <w:rPr>
          <w:rFonts w:ascii="Calibri" w:cs="Calibri" w:eastAsia="Calibri" w:hAnsi="Calibri"/>
          <w:sz w:val="22"/>
          <w:szCs w:val="22"/>
        </w:rPr>
        <w:t xml:space="preserve">Register for SAM.gov API key (10 business day wait — start today).</w:t>
      </w:r>
    </w:p>
    <w:p>
      <w:pPr>
        <w:pStyle w:val="ListParagraph"/>
        <w:numPr>
          <w:ilvl w:val="0"/>
          <w:numId w:val="3"/>
        </w:numPr>
        <w:spacing w:after="60" w:before="60"/>
      </w:pPr>
      <w:r>
        <w:rPr>
          <w:rFonts w:ascii="Calibri" w:cs="Calibri" w:eastAsia="Calibri" w:hAnsi="Calibri"/>
          <w:sz w:val="22"/>
          <w:szCs w:val="22"/>
        </w:rPr>
        <w:t xml:space="preserve">Generate Simpler.Grants.gov API key (5 minutes).</w:t>
      </w:r>
    </w:p>
    <w:p>
      <w:pPr>
        <w:pStyle w:val="ListParagraph"/>
        <w:numPr>
          <w:ilvl w:val="0"/>
          <w:numId w:val="3"/>
        </w:numPr>
        <w:spacing w:after="60" w:before="60"/>
      </w:pPr>
      <w:r>
        <w:rPr>
          <w:rFonts w:ascii="Calibri" w:cs="Calibri" w:eastAsia="Calibri" w:hAnsi="Calibri"/>
          <w:sz w:val="22"/>
          <w:szCs w:val="22"/>
        </w:rPr>
        <w:t xml:space="preserve">Reserve domain: perpetualcore.com/engine or pcrfp.ai. Configure DNS and Mercury subscriptions.</w:t>
      </w:r>
    </w:p>
    <w:p>
      <w:pPr>
        <w:pStyle w:val="ListParagraph"/>
        <w:numPr>
          <w:ilvl w:val="0"/>
          <w:numId w:val="3"/>
        </w:numPr>
        <w:spacing w:after="60" w:before="60"/>
      </w:pPr>
      <w:r>
        <w:rPr>
          <w:rFonts w:ascii="Calibri" w:cs="Calibri" w:eastAsia="Calibri" w:hAnsi="Calibri"/>
          <w:sz w:val="22"/>
          <w:szCs w:val="22"/>
        </w:rPr>
        <w:t xml:space="preserve">Create Stripe products at the four pricing tiers; do not enable payment yet.</w:t>
      </w:r>
    </w:p>
    <w:p>
      <w:pPr>
        <w:pStyle w:val="ListParagraph"/>
        <w:numPr>
          <w:ilvl w:val="0"/>
          <w:numId w:val="3"/>
        </w:numPr>
        <w:spacing w:after="60" w:before="60"/>
      </w:pPr>
      <w:r>
        <w:rPr>
          <w:rFonts w:ascii="Calibri" w:cs="Calibri" w:eastAsia="Calibri" w:hAnsi="Calibri"/>
          <w:sz w:val="22"/>
          <w:szCs w:val="22"/>
        </w:rPr>
        <w:t xml:space="preserve">Pull together vault documents for Uplift, IHA, and Perpetual Core into per-org folders.</w:t>
      </w:r>
    </w:p>
    <w:p>
      <w:pPr>
        <w:pStyle w:val="ListParagraph"/>
        <w:numPr>
          <w:ilvl w:val="0"/>
          <w:numId w:val="3"/>
        </w:numPr>
        <w:spacing w:after="60" w:before="60"/>
      </w:pPr>
      <w:r>
        <w:rPr>
          <w:rFonts w:ascii="Calibri" w:cs="Calibri" w:eastAsia="Calibri" w:hAnsi="Calibri"/>
          <w:sz w:val="22"/>
          <w:szCs w:val="22"/>
        </w:rPr>
        <w:t xml:space="preserve">Identify the first 15 design partners; draft outreach using template 6.3.</w:t>
      </w:r>
    </w:p>
    <w:p>
      <w:pPr>
        <w:pStyle w:val="ListParagraph"/>
        <w:numPr>
          <w:ilvl w:val="0"/>
          <w:numId w:val="3"/>
        </w:numPr>
        <w:spacing w:after="60" w:before="60"/>
      </w:pPr>
      <w:r>
        <w:rPr>
          <w:rFonts w:ascii="Calibri" w:cs="Calibri" w:eastAsia="Calibri" w:hAnsi="Calibri"/>
          <w:sz w:val="22"/>
          <w:szCs w:val="22"/>
        </w:rPr>
        <w:t xml:space="preserve">Schedule the Boardroom x Prayer Room episode that announces the build.</w:t>
      </w:r>
    </w:p>
    <w:p>
      <w:pPr>
        <w:spacing w:before="600"/>
        <w:jc w:val="center"/>
      </w:pPr>
      <w:r>
        <w:rPr>
          <w:rFonts w:ascii="Calibri" w:cs="Calibri" w:eastAsia="Calibri" w:hAnsi="Calibri"/>
          <w:b/>
          <w:bCs/>
          <w:i/>
          <w:iCs/>
          <w:color w:val="B8954A"/>
          <w:sz w:val="18"/>
          <w:szCs w:val="18"/>
        </w:rPr>
        <w:t xml:space="preserve">— END OF GO-TO-MARKET PLAN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18096"/>
        <w:sz w:val="16"/>
        <w:szCs w:val="16"/>
      </w:rPr>
      <w:t xml:space="preserve">A Perpetual Core Product · Confidential · Page </w:t>
    </w:r>
    <w:r>
      <w:rPr>
        <w:rFonts w:ascii="Calibri" w:cs="Calibri" w:eastAsia="Calibri" w:hAnsi="Calibri"/>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18096"/>
        <w:sz w:val="16"/>
        <w:szCs w:val="16"/>
      </w:rPr>
      <w:t xml:space="preserve">PERPETUAL CORE RFP &amp; PROPOSAL ENGINE  ·  GO-TO-MARKET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0A0E1A"/>
      <w:sz w:val="36"/>
      <w:szCs w:val="36"/>
    </w:rPr>
  </w:style>
  <w:style w:type="paragraph" w:styleId="Heading2">
    <w:name w:val="Heading 2"/>
    <w:basedOn w:val="Normal"/>
    <w:next w:val="Normal"/>
    <w:qFormat/>
    <w:pPr>
      <w:spacing w:after="160" w:before="360"/>
      <w:outlineLvl w:val="1"/>
    </w:pPr>
    <w:rPr>
      <w:rFonts w:ascii="Calibri" w:cs="Calibri" w:eastAsia="Calibri" w:hAnsi="Calibri"/>
      <w:b/>
      <w:bCs/>
      <w:color w:val="0A0E1A"/>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B895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Go-to-Market Plan</dc:title>
  <dc:creator>Perpetual Core RFP &amp; Proposal Engine</dc:creator>
  <cp:lastModifiedBy>Un-named</cp:lastModifiedBy>
  <cp:revision>1</cp:revision>
  <dcterms:created xsi:type="dcterms:W3CDTF">2026-05-09T14:04:48.426Z</dcterms:created>
  <dcterms:modified xsi:type="dcterms:W3CDTF">2026-05-09T14:04:48.426Z</dcterms:modified>
</cp:coreProperties>
</file>

<file path=docProps/custom.xml><?xml version="1.0" encoding="utf-8"?>
<Properties xmlns="http://schemas.openxmlformats.org/officeDocument/2006/custom-properties" xmlns:vt="http://schemas.openxmlformats.org/officeDocument/2006/docPropsVTypes"/>
</file>