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color w:val="5146C7"/>
          <w:sz w:val="18"/>
        </w:rPr>
        <w:t>PERPETUAL CORE</w:t>
      </w:r>
    </w:p>
    <w:p>
      <w:pPr>
        <w:spacing w:after="100"/>
      </w:pPr>
      <w:r>
        <w:rPr>
          <w:rFonts w:ascii="Arial" w:hAnsi="Arial"/>
          <w:b/>
          <w:i w:val="0"/>
          <w:color w:val="17171B"/>
          <w:sz w:val="48"/>
        </w:rPr>
        <w:t>Statement of Work Template</w:t>
      </w:r>
    </w:p>
    <w:p>
      <w:pPr>
        <w:spacing w:after="320"/>
      </w:pPr>
      <w:r>
        <w:rPr>
          <w:rFonts w:ascii="Arial" w:hAnsi="Arial"/>
          <w:b w:val="0"/>
          <w:i w:val="0"/>
          <w:color w:val="5C5C65"/>
          <w:sz w:val="22"/>
        </w:rPr>
        <w:t>Use with the Perpetual Core Master Services Agreement</w:t>
      </w:r>
    </w:p>
    <w:p>
      <w:pPr>
        <w:spacing w:after="280"/>
      </w:pPr>
      <w:r>
        <w:rPr>
          <w:rFonts w:ascii="Arial" w:hAnsi="Arial"/>
          <w:b w:val="0"/>
          <w:i w:val="0"/>
          <w:color w:val="5C5C65"/>
          <w:sz w:val="18"/>
        </w:rPr>
        <w:t>Form version: August 29, 2026  |  Provider: THE PERPETUAL CORE LLC, a New York limited liability company</w:t>
      </w:r>
    </w:p>
    <w:p>
      <w:pPr>
        <w:spacing w:after="280"/>
        <w:ind w:left="259"/>
      </w:pPr>
      <w:r>
        <w:rPr>
          <w:rFonts w:ascii="Arial" w:hAnsi="Arial"/>
          <w:b/>
          <w:i w:val="0"/>
          <w:color w:val="5146C7"/>
          <w:sz w:val="18"/>
        </w:rPr>
        <w:t xml:space="preserve">IMPORTANT: </w:t>
      </w:r>
      <w:r>
        <w:rPr>
          <w:rFonts w:ascii="Arial" w:hAnsi="Arial"/>
          <w:b w:val="0"/>
          <w:i w:val="0"/>
          <w:color w:val="17171B"/>
          <w:sz w:val="18"/>
        </w:rPr>
        <w:t>This is a negotiation-ready starting form, not legal advice. Complete all brackets, attach deployment-specific exhibits, and obtain counsel review before signature.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SOW number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[PC-YYYY-###]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Customer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[LEGAL NAME]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[START] through [END]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Offer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[Operating System Map / Workflow Proof Sprint / Managed Operating Lane / Other]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Customer owner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[NAME / TITLE]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i w:val="0"/>
                <w:color w:val="17171B"/>
                <w:sz w:val="19"/>
              </w:rPr>
              <w:t>Provider owner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7171B"/>
                <w:sz w:val="19"/>
              </w:rPr>
              <w:t>[NAME / TITLE]</w:t>
            </w:r>
          </w:p>
        </w:tc>
      </w:tr>
    </w:tbl>
    <w:p>
      <w:pPr>
        <w:pStyle w:val="Heading1"/>
      </w:pPr>
      <w:r>
        <w:t>1. Business objective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[Describe the operating problem, affected people, current baseline, and why the work matters now.]</w:t>
      </w:r>
    </w:p>
    <w:p>
      <w:pPr>
        <w:pStyle w:val="Heading1"/>
      </w:pPr>
      <w:r>
        <w:t>2. Scope and deliverables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List each deliverable with its format, owner, due date, dependencies, and what is expressly out of scope.</w:t>
      </w:r>
    </w:p>
    <w:p>
      <w:pPr>
        <w:pStyle w:val="Heading1"/>
      </w:pPr>
      <w:r>
        <w:t>3. Success measures and evidence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Define baseline, target, measurement method, source of truth, evaluation date, and the person authorized to verify results. Do not treat configured software or activity counts as business outcomes.</w:t>
      </w:r>
    </w:p>
    <w:p>
      <w:pPr>
        <w:pStyle w:val="Heading1"/>
      </w:pPr>
      <w:r>
        <w:t>4. Authority and approval gates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Identify what may be observed, drafted, or automated; what requires Customer review; who may send, submit, publish, approve, pay, sign, or change an official record; and the escalation path.</w:t>
      </w:r>
    </w:p>
    <w:p>
      <w:pPr>
        <w:pStyle w:val="Heading1"/>
      </w:pPr>
      <w:r>
        <w:t>5. Data and system boundaries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List systems of record, integrations, data categories, hosting, subprocessors, retention, export, deletion, and prohibited data. State whether a DPA or BAA applies. No PHI is authorized unless the BAA and technical environment are approved.</w:t>
      </w:r>
    </w:p>
    <w:p>
      <w:pPr>
        <w:pStyle w:val="Heading1"/>
      </w:pPr>
      <w:r>
        <w:t>6. Project plan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Discovery / design / build / test / launch / training / outcome review. Add dates and owners for each milestone.</w:t>
      </w:r>
    </w:p>
    <w:p>
      <w:pPr>
        <w:pStyle w:val="Heading1"/>
      </w:pPr>
      <w:r>
        <w:t>7. Customer responsibilities and assumptions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List required access, stakeholders, decisions, content, technical resources, procurement, and review turnaround. Record assumptions that affect price or schedule.</w:t>
      </w:r>
    </w:p>
    <w:p>
      <w:pPr>
        <w:pStyle w:val="Heading1"/>
      </w:pPr>
      <w:r>
        <w:t>8. Acceptance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For each deliverable, define objective acceptance criteria, review period (default 7 business days), correction process, and the authorized acceptor.</w:t>
      </w:r>
    </w:p>
    <w:p>
      <w:r>
        <w:br w:type="page"/>
      </w:r>
    </w:p>
    <w:p>
      <w:pPr>
        <w:pStyle w:val="Heading1"/>
      </w:pPr>
      <w:r>
        <w:t>9. Fees and payment schedule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Total: $[AMOUNT]. Deposit: $[AMOUNT] due on signature. Milestones or recurring fees: [DETAILS]. Approved expenses: [DETAILS]. Taxes: [DETAILS]. Work begins after deposit and required access are received.</w:t>
      </w:r>
    </w:p>
    <w:p>
      <w:pPr>
        <w:pStyle w:val="Heading1"/>
      </w:pPr>
      <w:r>
        <w:t>10. Change control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Changes to scope, schedule, fee, authority, data handling, or acceptance criteria require a written change order signed by both Parties.</w:t>
      </w:r>
    </w:p>
    <w:p>
      <w:pPr>
        <w:pStyle w:val="Heading1"/>
      </w:pPr>
      <w:r>
        <w:t>11. Support and transition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Define launch support, response targets, maintenance exclusions, documentation, training, export, handoff, and any optional managed lane.</w:t>
      </w:r>
    </w:p>
    <w:p>
      <w:pPr>
        <w:pStyle w:val="Heading1"/>
      </w:pPr>
      <w:r>
        <w:t>12. Incorporated terms</w:t>
      </w:r>
    </w:p>
    <w:p>
      <w:pPr>
        <w:spacing w:before="60" w:after="160" w:line="276" w:lineRule="auto"/>
      </w:pPr>
      <w:r>
        <w:rPr>
          <w:rFonts w:ascii="Arial" w:hAnsi="Arial"/>
          <w:b w:val="0"/>
          <w:i w:val="0"/>
          <w:color w:val="17171B"/>
          <w:sz w:val="21"/>
        </w:rPr>
        <w:t>This SOW is governed by the Master Services Agreement dated [DATE], plus any signed DPA, BAA, security exhibit, and change orders. If there is a conflict, the MSA's order-of-precedence clause applies.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17171B"/>
                <w:sz w:val="18"/>
              </w:rPr>
              <w:t>THE PERPETUAL CORE LLC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17171B"/>
                <w:sz w:val="18"/>
              </w:rPr>
              <w:t>CUSTOMER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By: ______________________________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By: ______________________________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Name: Lorenzo Daughtry-Chambers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Name: [NAME]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Title: Authorized Representative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Title: [TITLE]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Date: ____________________________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7171B"/>
                <w:sz w:val="18"/>
              </w:rPr>
              <w:t>Date: 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C5C65"/>
        <w:sz w:val="16"/>
      </w:rPr>
      <w:t>Negotiation draft - counsel review recommended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C5C65"/>
        <w:sz w:val="16"/>
      </w:rPr>
      <w:t>PERPETUAL CORE  /  CUSTOMER CONTRACTING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1717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5146C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5146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5146C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