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left"/>
      </w:pPr>
      <w:r>
        <w:rPr>
          <w:rFonts w:ascii="Calibri" w:cs="Calibri" w:eastAsia="Calibri" w:hAnsi="Calibri"/>
          <w:b/>
          <w:bCs/>
          <w:color w:val="B8954A"/>
          <w:sz w:val="18"/>
          <w:szCs w:val="18"/>
        </w:rPr>
        <w:t xml:space="preserve">TECHNICAL BUILD SPECIFICATION</w:t>
      </w:r>
    </w:p>
    <w:p>
      <w:pPr>
        <w:spacing w:after="0" w:before="200"/>
        <w:jc w:val="left"/>
      </w:pPr>
      <w:r>
        <w:rPr>
          <w:rFonts w:ascii="Calibri" w:cs="Calibri" w:eastAsia="Calibri" w:hAnsi="Calibri"/>
          <w:b/>
          <w:bCs/>
          <w:color w:val="0A0E1A"/>
          <w:sz w:val="64"/>
          <w:szCs w:val="64"/>
        </w:rPr>
        <w:t xml:space="preserve">Perpetual Core RFP &amp; Proposal Engine</w:t>
      </w:r>
    </w:p>
    <w:p>
      <w:pPr>
        <w:spacing w:after="400" w:before="100"/>
        <w:jc w:val="left"/>
      </w:pPr>
      <w:r>
        <w:rPr>
          <w:rFonts w:ascii="Calibri" w:cs="Calibri" w:eastAsia="Calibri" w:hAnsi="Calibri"/>
          <w:i/>
          <w:iCs/>
          <w:color w:val="4A5568"/>
          <w:sz w:val="28"/>
          <w:szCs w:val="28"/>
        </w:rPr>
        <w:t xml:space="preserve">Multi-entity proposal, RFP, and grant capture platform</w:t>
      </w:r>
    </w:p>
    <w:p>
      <w:pPr>
        <w:spacing w:after="0" w:before="8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Prepared for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0A0E1A"/>
          <w:sz w:val="24"/>
          <w:szCs w:val="24"/>
        </w:rPr>
        <w:t xml:space="preserve">Lorenzo Daughtry-Chambers</w:t>
      </w:r>
    </w:p>
    <w:p>
      <w:pPr>
        <w:spacing w:after="0" w:before="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Founder &amp; CEO, Institute for Human Advancement</w:t>
      </w:r>
    </w:p>
    <w:p>
      <w:pPr>
        <w:spacing w:after="600" w:before="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CEO, The Perpetual Core LLC</w:t>
      </w:r>
    </w:p>
    <w:p>
      <w:pPr>
        <w:spacing w:after="0" w:before="200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Audience</w:t>
      </w:r>
    </w:p>
    <w:p>
      <w:pPr>
        <w:spacing w:after="200" w:before="60"/>
      </w:pPr>
      <w:r>
        <w:rPr>
          <w:rFonts w:ascii="Calibri" w:cs="Calibri" w:eastAsia="Calibri" w:hAnsi="Calibri"/>
          <w:color w:val="0A0E1A"/>
          <w:sz w:val="22"/>
          <w:szCs w:val="22"/>
        </w:rPr>
        <w:t xml:space="preserve">Claude Code (engineering execution agent)</w:t>
      </w:r>
    </w:p>
    <w:p>
      <w:pPr>
        <w:spacing w:after="0" w:before="1600"/>
      </w:pPr>
      <w:r>
        <w:rPr>
          <w:rFonts w:ascii="Calibri" w:cs="Calibri" w:eastAsia="Calibri" w:hAnsi="Calibri"/>
          <w:color w:val="718096"/>
          <w:sz w:val="16"/>
          <w:szCs w:val="16"/>
        </w:rPr>
        <w:t xml:space="preserve">May 2026  ·  v1.0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1. Executive Summary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The Perpetual Core RFP &amp; Proposal Engine is a multi-tenant SaaS product built and owned by The Perpetual Core LLC, the technology company in Lorenzo Daughtry-Chambers' venture stack. The Engine automates discovery, drafting, and compliance for proposals, RFPs, and grants, serving both nonprofit and for-profit entities through a single architecture. Internally, it powers Uplift Communities, the Institute for Human Advancement, and The Perpetual Core itself. Externally, it is sold to other 501(c)(3) organizations, mission-driven for-profits, and consulting agencies that manage capture for multiple clients.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This document is the engineering specification for Claude Code to execute. Every section is implementation-ready: data models, API contracts, agent prompts, and deployment paths are spelled out. The product targets 2,500 paying customers within 24 months at a blended ARPU sufficient to clear $20M ARR, while simultaneously expanding Uplift's own contract pipeline through dogfooding.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1.1 What we are building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Discovery Agent — always-on opportunity scanner across SAM.gov, Grants.gov, NY State Grants Gateway, NYC DYCD, foundation directories, and SBIR.gov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Capture Profile Agent — ingests an org's past wins, capacity statements, partner letters, financials, and leadership bios; outputs a structured org profile and voice fingerprint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Drafting Agent — generates section-level drafts (Need Statement, Approach, Logic Model, Org Capacity, Eval Plan, Sustainability for nonprofits; Executive Summary, Technical Approach, Past Performance, Management Plan, Pricing Narrative, Differentiators for for-profits) grounded in the org's vault and voice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Reviewer Sub-Agent — grades drafts against the solicitation's evaluation rubric and requests revisions before returning to the user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Compliance Agent — pre-submit gate: page limits, font size, margins, required attachments, budget math, eligibility, due dates and timezones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Multi-tenant SaaS shell — Stripe plan-gating, GHL sub-account provisioning, audit logs, role-based access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1.2 Why this hits the $20M target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Three revenue legs, each independently large: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Direct SaaS — Starter ($299/mo), Pro ($799/mo), Agency ($2,499/mo), Enterprise ($25K–$75K/yr). 2,500 Pro customers = $24M ARR.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Win fees — optional 1–3% of awards over $250K. A single $5M HHS award returns $50K–$150K.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Uplift contract expansion — dogfooding the engine on Uplift's own pipeline conservatively unlocks $1M–$10M in additional contract revenue per year, independent of SaaS.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2. System Architecture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2.1 High-level diagram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                    PERPETUAL CORE RFP &amp; PROPOSAL ENGINE                          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│                  (deployed on Vercel + Supabase)                 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              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┌─────────────────────────┼─────────────────────────────┐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│                         │                     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DISCOVERY                  DRAFTING                     COMPLIANCE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(cron, always-on)          (Managed Agents)             (pre-submit)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│                         │                     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▼                         ▼                             ▼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┌────────────┐         ┌────────────────┐           ┌──────────────┐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SAM.gov    │         │ Org Voice Vault│           │ Page limits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Grants.gov │         │ Past wins,     │           │ Required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NY State   │         │ partner ltrs,  │           │ forms      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DYCD/HRA   │         │ logic models,  │           │ Eligibility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Candid     │         │ tech specs     │           │ Budget math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│ SBIR.gov   │         │                │           │ Attachments  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└────────────┘         │ + Master Bldg  │           └──────────────┘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              │   Kit registries│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                     └────────────────┘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Three agents, one shared org context layer, three external surfaces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2.2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Next.js 14 App Router, React, Tailwind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Already in Perpetual Core stack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Next.js Route Handlers + Edge Functions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Same repo, no extra infra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Supabase Postgres + pgvector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Org vault embeddings live here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Supabase Auth + Row-Level Security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Multi-tenant isolation built in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Managed Agents (Anthropic)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Sandboxed, $0.08/session-hour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Model routing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Sonnet 4 default, Opus 4.7 for high-stakes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Cost-tier control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BGE-M3 via local on Herald, fallback Voyage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Already in your RAG stack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Billing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Stripe + plan-gating middleware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GHL sub-account API per tenant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Discovery cron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Vercel Cron + queue worker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6-hour scan cadence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Supabase Storage (buckets per tenant)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 PDFs, partner letters, exports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Anthropic agent traces + Logflare</w:t>
            </w:r>
          </w:p>
        </w:tc>
        <w:tc>
          <w:tcPr>
            <w:tcW w:type="dxa" w:w="36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Required for audit-grade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2.3 Multi-tenancy model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Every record carries a tenant_id (the Org's UUID). Row-Level Security policies enforce that a user can only read and write rows whose tenant_id is in their assigned org list. Each tenant is one of three entity types: nonprofit, forprofit, or dual (an operator like Lorenzo who manages both).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CREATE POLICY tenant_isolation ON proposals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USING (tenant_id IN (SELECT org_id FROM user_orgs WHERE user_id = auth.uid()));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3. Data Model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All tables prefix with rfp_ to namespace cleanly inside the existing Perpetual Core schema. Tables map directly onto your Master Building Kit registry pattern.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rfp_orgs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name, type (nonprofit|forprofit|dual), naics[], voice_fingerprint, capacity_summary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Tenant root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rfp_users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email, role (owner|writer|reviewer|viewer)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User accounts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rfp_user_orgs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user_id, org_id, role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Many-to-many; supports agencies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rfp_capture_profiles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org_id, version, profile_json, voice_examples[]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Org profile snapshots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rfp_vault_artifacts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org_id, type, title, body, embedding (vector), source_metadata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Past wins, partner letters, etc.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rfp_opportunities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source, source_id, title, agency, type, amount, deadline, raw_json, posted_at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Discovered opportunities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rfp_opp_matches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opp_id, org_id, fit_score, win_prob, recommendation, scored_at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Org-specific match scores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rfp_proposals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org_id, opp_id, title, status, due_date, owner_user_id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 proposal in progress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rfp_proposal_sections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proposal_id, section_type, content, version, last_drafted_by_agent_at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Section drafts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rfp_compliance_checks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proposal_id, check_type, status, details_json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Pre-submit validation</w:t>
            </w:r>
          </w:p>
        </w:tc>
      </w:tr>
      <w:t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rfp_agent_sessions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id, proposal_id, agent (discovery|drafting|reviewer|compliance), session_id, cost_usd, tokens</w:t>
            </w:r>
          </w:p>
        </w:tc>
        <w:tc>
          <w:tcPr>
            <w:tcW w:type="dxa" w:w="4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3.2 Voice fingerprint structure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Stored on rfp_orgs.voice_fingerprint as JSON. The Capture Profile Agent populates this once and refreshes quarterly.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"register": "warm-evidence-based",  // or executive, academic, technical, etc.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"signature_phrases": ["family-sustaining wages", "community-rooted"],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"avg_sentence_length": 18,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"opens_with_data": true,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"theory_of_change_lang": "systems-level",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"do_not_use": ["synergy", "leverage"],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"exemplar_passages": ["&lt;3 short past-win paragraphs&gt;"]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4. Agent Specifications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4.1 Discovery Agent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Vercel Cron every 6 hours per active source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Inputs: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All active org capture profiles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Outputs: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Rows in rfp_opportunities and rfp_opp_matches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Haiku 4.5 for scoring, Sonnet 4 for natural-language brief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Sources and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700"/>
        <w:gridCol w:w="1960"/>
      </w:tblGrid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SAM.gov Opportunities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api.sam.gov/prod/opportunities/v2/search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 key in query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1,000/day free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Grants.gov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api.grants.gov/v1/api/search2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None for search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Generous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Simpler Grants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api.simpler.grants.gov/v1/opportunities/search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X-API-Key header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60/min, 10K/day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NY State Grants Gateway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Web scrape (no public API)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Cookie session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Throttle 1/min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NYC DYCD / HRA / DOE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Web scrape Discretionary listings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Throttle 1/min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Candid Foundation Directory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api.candid.org/funder-search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 key, paid plan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Per plan</w:t>
            </w:r>
          </w:p>
        </w:tc>
      </w:tr>
      <w:t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SBIR.gov</w:t>
            </w:r>
          </w:p>
        </w:tc>
        <w:tc>
          <w:tcPr>
            <w:tcW w:type="dxa" w:w="3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www.sbir.gov/api/solicitations.json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Generous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Scoring logic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For each new opportunity, run a fit-score function for every active org: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fit_score = (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0.30 * naics_overlap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+ 0.25 * keyword_alignment_with_capacity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+ 0.20 * geo_match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+ 0.15 * dollar_size_in_band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+ 0.10 * past_win_in_same_funder_or_program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) * 100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If fit_score ≥ 80, generate a 1-paragraph brief via Sonnet 4 and notify the org owner via Slack/Telegram/email per their preferences.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4.2 Capture Profile Agent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Manual on org onboarding; quarterly auto-refresh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Inputs: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Uploaded vault: past proposals, 990s, audits, partner letters, leadership bios, capacity statements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Outputs: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rfp_capture_profiles row + populated rfp_vault_artifacts with embeddings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Opus 4.7 for voice extraction; Haiku 4.5 for chunking and embedding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System prompt skeleton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You analyze an organization's documents and extract a Capture Profile.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Your outputs MUST be JSON conforming to the schema in section 3.2.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Rules: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1. Only assert facts present in the documents. Never infer.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2. For voice, extract 3 exemplar paragraphs that capture the org's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register most clearly, plus 5-10 signature phrases.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3. Identify do-not-use words by what is conspicuously absent in their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winning prose.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4. Flag any inconsistencies across documents for human review.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4.3 Drafting Agent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User clicks Generate in the UI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Inputs: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Solicitation excerpt, target section, org capture profile, vault retrieval results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Outputs: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rfp_proposal_sections row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Sonnet 4 default. Opus 4.7 for sections &gt; 5 pages or evaluation-critical.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Runtime: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Claude Managed Agents (sandboxed, observability built 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System prompt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See appendix A — full prompt with placeholders for org context, vault excerpts, and section-type instructions.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Tool use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vault_search(query, k) → returns top-k chunks from rfp_vault_artifacts via pgvector cosine similarity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get_capacity_facts(category) → returns structured capacity data (e.g. cohort sizes, partners, certifications)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get_past_wins(funder, program) → returns prior wins matching context, for credibility paragraphs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flag_for_verification(claim) → emits a [VERIFY] marker the human must resolve before submit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4.4 Reviewer Sub-Agent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After Drafting Agent returns; or on-demand from UI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Inputs: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Draft section, solicitation excerpt, evaluation rubric (extracted from solicitation)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Outputs: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Score 0-100, list of revision requests, optional revised draft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Opus 4.7 — this is the high-stakes critic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System prompt skeleton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You are a federal grant/RFP reviewer. You score the draft against the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evaluation rubric provided. Be brutal but specific. For each revision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request, cite the exact rubric language and propose a concrete fix.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A0E1A"/>
          <w:sz w:val="28"/>
          <w:szCs w:val="28"/>
        </w:rPr>
        <w:t xml:space="preserve">4.5 Compliance Agent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Trigger: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User clicks Run Compliance Check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Inputs: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Full proposal package, solicitation requirements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Outputs: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Pass/fail per rule; rfp_compliance_checks rows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Sonnet 4 with deterministic Python tools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Checks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Page count per section vs. solicitation max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Font size, line spacing, margins (parse the PDF/docx)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Required attachments present (W-9, audit, letters of support, etc.)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Budget arithmetic: line items sum, indirect rate within cap, cost share met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Eligibility: org type, geography, prior award limits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Due date in solicitation timezone, with 24-hour buffer warning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Required forms (SF-424, SF-424A, SF-LLL, etc.) present and signed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5. API Contracts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All endpoints are Next.js Route Handlers under app/api/. Authenticated via Supabase JWT in Authorization header. Tenant resolved from JWT claims.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5.1 Opportunities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GET  /api/opps                     ?org_id=&amp;min_fit=80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GET  /api/opps/:id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/api/opps/:id/dismiss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/api/opps/:id/start-proposal  → creates rfp_proposals row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5.2 Capture Profile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GET  /api/orgs/:id/profile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/api/orgs/:id/profile/refresh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/api/orgs/:id/vault          (multipart upload)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GET  /api/orgs/:id/vault          (list)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5.3 Drafting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/api/proposals/:id/sections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body: { section_type, solicitation_excerpt 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returns: { section_id, content, citations[] 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/api/proposals/:id/sections/:section_id/review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returns: { score, revisions[], optional_revised_content 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5.4 Compliance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/api/proposals/:id/compliance-check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returns: { overall: pass|fail|warn, checks[] }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B8954A"/>
          <w:sz w:val="22"/>
          <w:szCs w:val="22"/>
        </w:rPr>
        <w:t xml:space="preserve">5.5 Webhooks (outbound)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POST {tenant_webhook_url}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events: opp.matched, draft.complete, compliance.failed, proposal.submitted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6. Build Sequence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The sequence is designed so Lorenzo can dogfood every phase on Uplift before opening it to external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5500"/>
        <w:gridCol w:w="1560"/>
      </w:tblGrid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Days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0. Foundations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1-3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API keys (SAM, Grants, Simpler Grants); Supabase schema migration; Stripe products configured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1. Discovery v1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4-10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Cron worker, scoring fn, Slack/Telegram notifications, internal dashboard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2. Capture Profile (Uplift, IHA, Perpetual)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11-21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Vault upload UI; Capture Profile Agent; voice fingerprints persisted; 3 internal orgs onboarded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 + Lorenzo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3. Drafting Agent v1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15-30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Sonnet 4 system prompt; vault tool; pgvector retrieval; UI for section draft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4. Reviewer Sub-Agent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25-35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Opus 4.7 critic; rubric extractor; revision loop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5. Compliance Agent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30-45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PDF parsing, page-count, budget math; SF-424 detector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6. First 10 Uplift submissions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40-75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Submit 10-15 real proposals using the engine; track win rate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Lorenzo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7. Multi-tenant productization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60-90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Stripe gating, org switcher, GHL provisioning, audit logs, public pricing page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8. External beta (15 design partners)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75-105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Onboard 15 nonprofits + for-profits referred by Lorenzo's network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Lorenzo + Sarah</w:t>
            </w:r>
          </w:p>
        </w:tc>
      </w:tr>
      <w:tr>
        <w:tc>
          <w:tcPr>
            <w:tcW w:type="dxa" w:w="1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9. Public launch + case study</w:t>
            </w:r>
          </w:p>
        </w:tc>
        <w:tc>
          <w:tcPr>
            <w:tcW w:type="dxa" w:w="1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100-120</w:t>
            </w:r>
          </w:p>
        </w:tc>
        <w:tc>
          <w:tcPr>
            <w:tcW w:type="dxa" w:w="55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Uplift case study published; pricing live; affiliate program live</w:t>
            </w:r>
          </w:p>
        </w:tc>
        <w:tc>
          <w:tcPr>
            <w:tcW w:type="dxa" w:w="1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Lorenzo + Sarah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7. Security and Audit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All agent calls logged to rfp_agent_sessions with model, tokens, cost, and full prompt+response (encrypted at rest)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Vault documents encrypted in Supabase Storage with per-tenant keys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PII redaction pass on any document before embedding (names, SSNs, EINs flagged for review)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Tenant isolation enforced via RLS, verified by automated test suite on every deploy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Export of all agent activity for any proposal, in case of FOIA or audit request — this is a real selling point for federal contractors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8.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1900"/>
        <w:gridCol w:w="2160"/>
      </w:tblGrid>
      <w:t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Price/mo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Avg sessions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Claude cost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$299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~$30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$799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~$150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~81%</w:t>
            </w:r>
          </w:p>
        </w:tc>
      </w:tr>
      <w:t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Agency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$2,499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~$500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$2,500-$6,250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~75%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9. Appendix A — Drafting Agent Master Prompt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You are an expert proposal/RFP/grant writer for {{org_name}}, a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{{org_type}} entity.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ORG VOICE: {{voice_fingerprint.register}}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SIGNATURE PHRASES: {{voice_fingerprint.signature_phrases}}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DO NOT USE: {{voice_fingerprint.do_not_use}}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ORG CAPACITY: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{{capacity_summary}}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RECENT WINS: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{{wins[]}}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VAULT (ground truth — only cite from here):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{{vault_chunks_retrieved_via_rag}}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RULES: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1. Write in the org's documented voice.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2. Cite past wins by name where they support a claim.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3. Do NOT fabricate stats, partners, or outcomes.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Use [VERIFY: ...] for anything not in the vault.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4. Match the convention for the entity type: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- Nonprofit: Need → Approach → Outcomes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 - For-profit: Understanding → Approach → Differentiators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5. Length: tight. 2-4 paragraphs unless the section requires more.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6. No placeholder headers like [Section Title]. Just the content.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/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Now draft the {{section_type}} section in response to:</w:t>
      </w:r>
    </w:p>
    <w:p>
      <w:pPr>
        <w:shd w:fill="F4F1EA" w:val="clear"/>
        <w:spacing w:after="80" w:before="80" w:line="28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"""{{solicitation_excerpt}}"""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10. Appendix B — Source Inventory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Maintained as a living JSON config at config/discovery_sources.json. Each source has: name, type (api|scrape), endpoint, auth, schedule, parser_module, fields_mapping.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11. Appendix C — Risks and Mitigations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360"/>
      </w:tblGrid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Hallucinated stats in drafts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[VERIFY] markers; vault-only citation rule; reviewer agent gate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RFP source structure changes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Per-source parser module; weekly canary scrape; alerts on schema drift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SAM.gov rate limit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Cache aggressively; bulk extracts endpoint for backfill; queue and throttle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Customer voice drift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Quarterly Capture Profile refresh; user-facing voice editor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Federal compliance liability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Disclaimer in TOS; final human submit gate; no auto-submission</w:t>
            </w:r>
          </w:p>
        </w:tc>
      </w:tr>
      <w:tr>
        <w:tc>
          <w:tcPr>
            <w:tcW w:type="dxa" w:w="4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Multi-tenant data leak</w:t>
            </w:r>
          </w:p>
        </w:tc>
        <w:tc>
          <w:tcPr>
            <w:tcW w:type="dxa" w:w="6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RLS test suite on every deploy; per-tenant encryption keys</w:t>
            </w:r>
          </w:p>
        </w:tc>
      </w:tr>
    </w:tbl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A0E1A"/>
          <w:sz w:val="36"/>
          <w:szCs w:val="36"/>
        </w:rPr>
        <w:t xml:space="preserve">12. Sign-off and Next Action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Claude Code: confirm receipt of this spec, ask any clarifying questions, then begin Phase 0 (Foundations) immediately. Target Phase 0 complete in 72 hours.</w:t>
      </w:r>
    </w:p>
    <w:p>
      <w:pPr>
        <w:spacing w:after="120" w:before="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Lorenzo: provide Uplift, IHA, and Perpetual Core vault documents (past proposals, capacity statements, partner letters) in /vault directories named per-org so Phase 2 can begin in parallel with Phase 1.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i/>
          <w:iCs/>
          <w:color w:val="B8954A"/>
          <w:sz w:val="18"/>
          <w:szCs w:val="18"/>
        </w:rPr>
        <w:t xml:space="preserve">— END OF TECHNICAL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Confidential · A Perpetual Core Product · Page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18096"/>
        <w:sz w:val="16"/>
        <w:szCs w:val="16"/>
      </w:rPr>
      <w:t xml:space="preserve">PERPETUAL CORE RFP &amp; PROPOSAL ENGINE  ·  TECHNICAL BUILD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0A0E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B895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Build Specification</dc:title>
  <dc:creator>Perpetual Core RFP &amp; Proposal Engine</dc:creator>
  <cp:lastModifiedBy>Un-named</cp:lastModifiedBy>
  <cp:revision>1</cp:revision>
  <dcterms:created xsi:type="dcterms:W3CDTF">2026-05-09T14:04:47.956Z</dcterms:created>
  <dcterms:modified xsi:type="dcterms:W3CDTF">2026-05-09T14:04:47.970Z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