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D3DB2" w14:textId="01B13A6F" w:rsidR="004A4A80" w:rsidRPr="009E77B2" w:rsidRDefault="00A738A7">
      <w:pPr>
        <w:rPr>
          <w:lang w:val="fr-FR"/>
        </w:rPr>
      </w:pPr>
      <w:r>
        <w:tab/>
      </w:r>
      <w:r>
        <w:tab/>
      </w:r>
      <w:r>
        <w:tab/>
      </w:r>
      <w:r>
        <w:tab/>
      </w:r>
      <w:r w:rsidRPr="009E77B2">
        <w:rPr>
          <w:lang w:val="fr-FR"/>
        </w:rPr>
        <w:t>Les capteurs</w:t>
      </w:r>
    </w:p>
    <w:p w14:paraId="071B5DB0" w14:textId="3FE5E69B" w:rsidR="00A738A7" w:rsidRPr="009E77B2" w:rsidRDefault="00A738A7">
      <w:pPr>
        <w:rPr>
          <w:lang w:val="fr-FR"/>
        </w:rPr>
      </w:pPr>
    </w:p>
    <w:p w14:paraId="71CCA595" w14:textId="52F93B84" w:rsidR="00A738A7" w:rsidRPr="009E77B2" w:rsidRDefault="00A738A7">
      <w:pPr>
        <w:rPr>
          <w:lang w:val="fr-FR"/>
        </w:rPr>
      </w:pPr>
    </w:p>
    <w:p w14:paraId="3E6D107E" w14:textId="4E38B12D" w:rsidR="00A738A7" w:rsidRPr="009E77B2" w:rsidRDefault="00A738A7">
      <w:pPr>
        <w:rPr>
          <w:lang w:val="fr-FR"/>
        </w:rPr>
      </w:pPr>
      <w:r w:rsidRPr="009E77B2">
        <w:rPr>
          <w:b/>
          <w:u w:val="single"/>
          <w:lang w:val="fr-FR"/>
        </w:rPr>
        <w:t>Mouvement:</w:t>
      </w:r>
      <w:r w:rsidRPr="009E77B2">
        <w:rPr>
          <w:b/>
          <w:u w:val="single"/>
          <w:lang w:val="fr-FR"/>
        </w:rPr>
        <w:br/>
      </w:r>
      <w:r w:rsidRPr="009E77B2">
        <w:rPr>
          <w:lang w:val="fr-FR"/>
        </w:rPr>
        <w:t>https://www.detecteur-mouvement.com/</w:t>
      </w:r>
    </w:p>
    <w:p w14:paraId="1052BFE5" w14:textId="59F4436A" w:rsidR="00A738A7" w:rsidRPr="00A738A7" w:rsidRDefault="00A738A7" w:rsidP="00A738A7">
      <w:pPr>
        <w:ind w:firstLine="420"/>
        <w:rPr>
          <w:lang w:val="fr-FR"/>
        </w:rPr>
      </w:pPr>
      <w:r w:rsidRPr="00A738A7">
        <w:rPr>
          <w:lang w:val="fr-FR"/>
        </w:rPr>
        <w:t>Aussi connue sous le n</w:t>
      </w:r>
      <w:r>
        <w:rPr>
          <w:lang w:val="fr-FR"/>
        </w:rPr>
        <w:t>om de capteur de proximité ou de détecteur de mouvement, le capteur de proximité est un élément essentiel dans la domotique, pour notamment protéger les infractions dans les demeures.</w:t>
      </w:r>
      <w:bookmarkStart w:id="0" w:name="_GoBack"/>
      <w:bookmarkEnd w:id="0"/>
    </w:p>
    <w:p w14:paraId="269641A4" w14:textId="0ACB28DB" w:rsidR="00A738A7" w:rsidRDefault="00A738A7">
      <w:pPr>
        <w:rPr>
          <w:lang w:val="fr-FR"/>
        </w:rPr>
      </w:pPr>
      <w:r w:rsidRPr="00A738A7">
        <w:rPr>
          <w:lang w:val="fr-FR"/>
        </w:rPr>
        <w:tab/>
      </w:r>
    </w:p>
    <w:p w14:paraId="2EEB09E4" w14:textId="09E72960" w:rsidR="00A738A7" w:rsidRDefault="00A738A7">
      <w:pPr>
        <w:rPr>
          <w:lang w:val="fr-FR"/>
        </w:rPr>
      </w:pPr>
    </w:p>
    <w:p w14:paraId="042B0E89" w14:textId="02D95C44" w:rsidR="00A738A7" w:rsidRDefault="00A738A7">
      <w:pPr>
        <w:rPr>
          <w:lang w:val="fr-FR"/>
        </w:rPr>
      </w:pPr>
    </w:p>
    <w:p w14:paraId="64FB28E0" w14:textId="2AE6F343" w:rsidR="00A738A7" w:rsidRDefault="00A738A7">
      <w:pPr>
        <w:rPr>
          <w:b/>
          <w:u w:val="single"/>
          <w:lang w:val="fr-FR"/>
        </w:rPr>
      </w:pPr>
      <w:r>
        <w:rPr>
          <w:rFonts w:hint="eastAsia"/>
          <w:b/>
          <w:u w:val="single"/>
          <w:lang w:val="fr-FR"/>
        </w:rPr>
        <w:t>L</w:t>
      </w:r>
      <w:r>
        <w:rPr>
          <w:b/>
          <w:u w:val="single"/>
          <w:lang w:val="fr-FR"/>
        </w:rPr>
        <w:t>umière</w:t>
      </w:r>
      <w:r w:rsidR="009E77B2">
        <w:rPr>
          <w:b/>
          <w:u w:val="single"/>
          <w:lang w:val="fr-FR"/>
        </w:rPr>
        <w:t> : photor</w:t>
      </w:r>
      <w:r w:rsidR="009E77B2" w:rsidRPr="009E77B2">
        <w:rPr>
          <w:b/>
          <w:u w:val="single"/>
          <w:lang w:val="fr-FR"/>
        </w:rPr>
        <w:t>é</w:t>
      </w:r>
      <w:r w:rsidR="009E77B2">
        <w:rPr>
          <w:b/>
          <w:u w:val="single"/>
          <w:lang w:val="fr-FR"/>
        </w:rPr>
        <w:t>sistence.</w:t>
      </w:r>
    </w:p>
    <w:p w14:paraId="790F0C3B" w14:textId="4E73D567" w:rsidR="009E77B2" w:rsidRDefault="009E77B2">
      <w:pPr>
        <w:rPr>
          <w:lang w:val="fr-FR"/>
        </w:rPr>
      </w:pPr>
      <w:r w:rsidRPr="009E77B2">
        <w:drawing>
          <wp:inline distT="0" distB="0" distL="0" distR="0" wp14:anchorId="4E86B8FF" wp14:editId="525B1FDC">
            <wp:extent cx="673792" cy="23558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7487" cy="2403734"/>
                    </a:xfrm>
                    <a:prstGeom prst="rect">
                      <a:avLst/>
                    </a:prstGeom>
                  </pic:spPr>
                </pic:pic>
              </a:graphicData>
            </a:graphic>
          </wp:inline>
        </w:drawing>
      </w:r>
      <w:r>
        <w:rPr>
          <w:b/>
          <w:lang w:val="fr-FR"/>
        </w:rPr>
        <w:t xml:space="preserve"> </w:t>
      </w:r>
      <w:r>
        <w:rPr>
          <w:lang w:val="fr-FR"/>
        </w:rPr>
        <w:t xml:space="preserve"> La résist</w:t>
      </w:r>
      <w:r w:rsidR="00AE5D73">
        <w:rPr>
          <w:lang w:val="fr-FR"/>
        </w:rPr>
        <w:t>a</w:t>
      </w:r>
      <w:r>
        <w:rPr>
          <w:lang w:val="fr-FR"/>
        </w:rPr>
        <w:t>nce est le serpentin</w:t>
      </w:r>
      <w:r w:rsidR="00AE5D73">
        <w:rPr>
          <w:lang w:val="fr-FR"/>
        </w:rPr>
        <w:t xml:space="preserve"> noir au millieu du cercle.</w:t>
      </w:r>
    </w:p>
    <w:p w14:paraId="4CCEB50C" w14:textId="56476612" w:rsidR="00AE5D73" w:rsidRDefault="00AE5D73">
      <w:pPr>
        <w:rPr>
          <w:lang w:val="fr-FR"/>
        </w:rPr>
      </w:pPr>
      <w:r>
        <w:rPr>
          <w:lang w:val="fr-FR"/>
        </w:rPr>
        <w:t>Le principe est donc le suivant : la résistance est un crystal semi-conducteur</w:t>
      </w:r>
      <w:r w:rsidR="008C5B33">
        <w:rPr>
          <w:lang w:val="fr-FR"/>
        </w:rPr>
        <w:t xml:space="preserve"> avec peu d’électron libre. L’arrivée du photon incident permet donc aux atomes du crystal  d’éjecter des électrons dans les liaisons covalentes. Ainsi, plus il’ya d’électron éjecté, plus la conductivité est grande. Donc la résistance de celle-ci est donc inversement proportionelle aux flux lumineux reçue. (L’éjection est permise par le théorie des bandes)</w:t>
      </w:r>
    </w:p>
    <w:p w14:paraId="774C0A2C" w14:textId="5DB29AAD" w:rsidR="008C5B33" w:rsidRDefault="008C5B33">
      <w:pPr>
        <w:rPr>
          <w:lang w:val="fr-FR"/>
        </w:rPr>
      </w:pPr>
      <w:hyperlink r:id="rId7" w:history="1">
        <w:r w:rsidRPr="0021364B">
          <w:rPr>
            <w:rStyle w:val="a7"/>
            <w:lang w:val="fr-FR"/>
          </w:rPr>
          <w:t>http://f5zv.pagesperso-orange.fr/RADIO/RM/RM24/RM24B/RM24B10.html</w:t>
        </w:r>
      </w:hyperlink>
    </w:p>
    <w:p w14:paraId="5213AEB5" w14:textId="07B425C5" w:rsidR="008C5B33" w:rsidRDefault="008C5B33">
      <w:pPr>
        <w:rPr>
          <w:lang w:val="fr-FR"/>
        </w:rPr>
      </w:pPr>
      <w:hyperlink r:id="rId8" w:history="1">
        <w:r w:rsidRPr="0021364B">
          <w:rPr>
            <w:rStyle w:val="a7"/>
            <w:lang w:val="fr-FR"/>
          </w:rPr>
          <w:t>http://ressources.univ-lemans.fr/AccesLibre/UM/Pedago/physique/02/electro/photores.html</w:t>
        </w:r>
      </w:hyperlink>
    </w:p>
    <w:p w14:paraId="4CDACD6D" w14:textId="47478F47" w:rsidR="008C5B33" w:rsidRDefault="008C5B33">
      <w:pPr>
        <w:rPr>
          <w:lang w:val="fr-FR"/>
        </w:rPr>
      </w:pPr>
    </w:p>
    <w:p w14:paraId="1F506E89" w14:textId="6BAD4C24" w:rsidR="006C6A85" w:rsidRDefault="006C6A85">
      <w:pPr>
        <w:rPr>
          <w:lang w:val="fr-FR"/>
        </w:rPr>
      </w:pPr>
    </w:p>
    <w:p w14:paraId="724F0121" w14:textId="3CB27A6C" w:rsidR="006C6A85" w:rsidRDefault="006C6A85">
      <w:pPr>
        <w:rPr>
          <w:b/>
          <w:u w:val="single"/>
          <w:lang w:val="fr-FR"/>
        </w:rPr>
      </w:pPr>
      <w:r>
        <w:rPr>
          <w:b/>
          <w:u w:val="single"/>
          <w:lang w:val="fr-FR"/>
        </w:rPr>
        <w:t xml:space="preserve">Température : </w:t>
      </w:r>
      <w:r w:rsidR="000F76BF">
        <w:rPr>
          <w:b/>
          <w:u w:val="single"/>
          <w:lang w:val="fr-FR"/>
        </w:rPr>
        <w:t>thermistance NTC</w:t>
      </w:r>
    </w:p>
    <w:p w14:paraId="260F49FE" w14:textId="192952E8" w:rsidR="000F76BF" w:rsidRDefault="000F76BF">
      <w:pPr>
        <w:rPr>
          <w:rFonts w:hint="eastAsia"/>
          <w:b/>
          <w:u w:val="single"/>
          <w:lang w:val="fr-FR"/>
        </w:rPr>
      </w:pPr>
      <w:r w:rsidRPr="000F76BF">
        <w:drawing>
          <wp:inline distT="0" distB="0" distL="0" distR="0" wp14:anchorId="615E3B76" wp14:editId="771C0C02">
            <wp:extent cx="1428750" cy="1428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8750" cy="1428750"/>
                    </a:xfrm>
                    <a:prstGeom prst="rect">
                      <a:avLst/>
                    </a:prstGeom>
                  </pic:spPr>
                </pic:pic>
              </a:graphicData>
            </a:graphic>
          </wp:inline>
        </w:drawing>
      </w:r>
    </w:p>
    <w:p w14:paraId="27D80CF9" w14:textId="5584DAE9" w:rsidR="000F76BF" w:rsidRDefault="000F76BF">
      <w:pPr>
        <w:rPr>
          <w:lang w:val="fr-FR"/>
        </w:rPr>
      </w:pPr>
      <w:r>
        <w:rPr>
          <w:rFonts w:hint="eastAsia"/>
          <w:lang w:val="fr-FR"/>
        </w:rPr>
        <w:t xml:space="preserve"> </w:t>
      </w:r>
      <w:r>
        <w:rPr>
          <w:lang w:val="fr-FR"/>
        </w:rPr>
        <w:t xml:space="preserve">Une thermistance NTC signifie que la résistance diminue lorsque la température augmente. </w:t>
      </w:r>
      <w:r>
        <w:rPr>
          <w:lang w:val="fr-FR"/>
        </w:rPr>
        <w:lastRenderedPageBreak/>
        <w:t>Les principaux matériaux utilisé sont des céramique semi-conducteur comme l’oxyde de manganèse ou de cobalt. Ces matériaux possèdent une très haute résistance</w:t>
      </w:r>
      <w:r w:rsidR="005D1BCA">
        <w:rPr>
          <w:lang w:val="fr-FR"/>
        </w:rPr>
        <w:t xml:space="preserve"> à cause du fait qu’il soient de semi-conducteur, la thermistance est donc très sensible à la variation de température : la variation à 25C est de 80ohm/C, ce qui conduit à un comportement non linéaire.</w:t>
      </w:r>
    </w:p>
    <w:p w14:paraId="5B3B6648" w14:textId="2D992D12" w:rsidR="005D1BCA" w:rsidRPr="005D1BCA" w:rsidRDefault="005D1BCA">
      <w:pPr>
        <w:rPr>
          <w:rFonts w:hint="eastAsia"/>
        </w:rPr>
      </w:pPr>
      <w:r w:rsidRPr="005D1BCA">
        <w:rPr>
          <w:noProof/>
          <w:lang w:val="fr-FR"/>
        </w:rPr>
        <mc:AlternateContent>
          <mc:Choice Requires="wps">
            <w:drawing>
              <wp:anchor distT="45720" distB="45720" distL="114300" distR="114300" simplePos="0" relativeHeight="251659264" behindDoc="0" locked="0" layoutInCell="1" allowOverlap="1" wp14:anchorId="76B95A1B" wp14:editId="78CAA0DD">
                <wp:simplePos x="0" y="0"/>
                <wp:positionH relativeFrom="column">
                  <wp:posOffset>1861820</wp:posOffset>
                </wp:positionH>
                <wp:positionV relativeFrom="paragraph">
                  <wp:posOffset>290830</wp:posOffset>
                </wp:positionV>
                <wp:extent cx="2360930" cy="1404620"/>
                <wp:effectExtent l="0" t="0" r="22860" b="114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E936821" w14:textId="67B5FA1F" w:rsidR="005D1BCA" w:rsidRDefault="005D1BCA">
                            <w:pPr>
                              <w:rPr>
                                <w:lang w:val="fr-FR"/>
                              </w:rPr>
                            </w:pPr>
                            <w:r w:rsidRPr="005D1BCA">
                              <w:rPr>
                                <w:rFonts w:hint="eastAsia"/>
                                <w:lang w:val="fr-FR"/>
                              </w:rPr>
                              <w:t>G</w:t>
                            </w:r>
                            <w:r w:rsidRPr="005D1BCA">
                              <w:rPr>
                                <w:lang w:val="fr-FR"/>
                              </w:rPr>
                              <w:t>raphe de la rés</w:t>
                            </w:r>
                            <w:r>
                              <w:rPr>
                                <w:lang w:val="fr-FR"/>
                              </w:rPr>
                              <w:t>istance NTC, donné par l’équation</w:t>
                            </w:r>
                            <w:r w:rsidRPr="005D1BCA">
                              <w:rPr>
                                <w:lang w:val="fr-FR"/>
                              </w:rPr>
                              <w:t xml:space="preserve"> </w:t>
                            </w:r>
                            <w:r>
                              <w:rPr>
                                <w:lang w:val="fr-FR"/>
                              </w:rPr>
                              <w:t>où</w:t>
                            </w:r>
                          </w:p>
                          <w:p w14:paraId="4B4976A4" w14:textId="1BEAC42B" w:rsidR="005D1BCA" w:rsidRDefault="005D1BCA">
                            <w:pPr>
                              <w:rPr>
                                <w:lang w:val="fr-FR"/>
                              </w:rPr>
                            </w:pPr>
                            <w:r>
                              <w:rPr>
                                <w:lang w:val="fr-FR"/>
                              </w:rPr>
                              <w:t>R</w:t>
                            </w:r>
                            <w:r>
                              <w:rPr>
                                <w:lang w:val="fr-FR"/>
                              </w:rPr>
                              <w:softHyphen/>
                              <w:t>t est la r</w:t>
                            </w:r>
                            <w:r w:rsidRPr="005D1BCA">
                              <w:rPr>
                                <w:lang w:val="fr-FR"/>
                              </w:rPr>
                              <w:t>ési</w:t>
                            </w:r>
                            <w:r>
                              <w:rPr>
                                <w:lang w:val="fr-FR"/>
                              </w:rPr>
                              <w:t>stance à une temérature T (en Kelvin)</w:t>
                            </w:r>
                          </w:p>
                          <w:p w14:paraId="18746E01" w14:textId="3F7ADA04" w:rsidR="005D1BCA" w:rsidRDefault="005D1BCA">
                            <w:pPr>
                              <w:rPr>
                                <w:lang w:val="fr-FR"/>
                              </w:rPr>
                            </w:pPr>
                            <w:r>
                              <w:rPr>
                                <w:rFonts w:hint="eastAsia"/>
                                <w:lang w:val="fr-FR"/>
                              </w:rPr>
                              <w:t>T</w:t>
                            </w:r>
                            <w:r>
                              <w:rPr>
                                <w:lang w:val="fr-FR"/>
                              </w:rPr>
                              <w:t>0=25( température de référence)</w:t>
                            </w:r>
                          </w:p>
                          <w:p w14:paraId="670AADFB" w14:textId="7A6006CB" w:rsidR="005D1BCA" w:rsidRPr="005D1BCA" w:rsidRDefault="005D1BCA">
                            <w:pPr>
                              <w:rPr>
                                <w:rFonts w:hint="eastAsia"/>
                                <w:lang w:val="fr-FR"/>
                              </w:rPr>
                            </w:pPr>
                            <w:r>
                              <w:rPr>
                                <w:rFonts w:asciiTheme="minorEastAsia" w:hAnsiTheme="minorEastAsia" w:hint="eastAsia"/>
                                <w:lang w:val="fr-FR"/>
                              </w:rPr>
                              <w:t>β</w:t>
                            </w:r>
                            <w:r>
                              <w:rPr>
                                <w:rFonts w:hint="eastAsia"/>
                                <w:lang w:val="fr-FR"/>
                              </w:rPr>
                              <w:t xml:space="preserve"> </w:t>
                            </w:r>
                            <w:r>
                              <w:rPr>
                                <w:lang w:val="fr-FR"/>
                              </w:rPr>
                              <w:t>est un constante qui dépend du matériaux choisis.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6B95A1B" id="_x0000_t202" coordsize="21600,21600" o:spt="202" path="m,l,21600r21600,l21600,xe">
                <v:stroke joinstyle="miter"/>
                <v:path gradientshapeok="t" o:connecttype="rect"/>
              </v:shapetype>
              <v:shape id="文本框 2" o:spid="_x0000_s1026" type="#_x0000_t202" style="position:absolute;left:0;text-align:left;margin-left:146.6pt;margin-top:22.9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">
                <v:textbox style="mso-fit-shape-to-text:t">
                  <w:txbxContent>
                    <w:p w14:paraId="0E936821" w14:textId="67B5FA1F" w:rsidR="005D1BCA" w:rsidRDefault="005D1BCA">
                      <w:pPr>
                        <w:rPr>
                          <w:lang w:val="fr-FR"/>
                        </w:rPr>
                      </w:pPr>
                      <w:r w:rsidRPr="005D1BCA">
                        <w:rPr>
                          <w:rFonts w:hint="eastAsia"/>
                          <w:lang w:val="fr-FR"/>
                        </w:rPr>
                        <w:t>G</w:t>
                      </w:r>
                      <w:r w:rsidRPr="005D1BCA">
                        <w:rPr>
                          <w:lang w:val="fr-FR"/>
                        </w:rPr>
                        <w:t>raphe de la rés</w:t>
                      </w:r>
                      <w:r>
                        <w:rPr>
                          <w:lang w:val="fr-FR"/>
                        </w:rPr>
                        <w:t>istance NTC, donné par l’équation</w:t>
                      </w:r>
                      <w:r w:rsidRPr="005D1BCA">
                        <w:rPr>
                          <w:lang w:val="fr-FR"/>
                        </w:rPr>
                        <w:t xml:space="preserve"> </w:t>
                      </w:r>
                      <w:r>
                        <w:rPr>
                          <w:lang w:val="fr-FR"/>
                        </w:rPr>
                        <w:t>où</w:t>
                      </w:r>
                    </w:p>
                    <w:p w14:paraId="4B4976A4" w14:textId="1BEAC42B" w:rsidR="005D1BCA" w:rsidRDefault="005D1BCA">
                      <w:pPr>
                        <w:rPr>
                          <w:lang w:val="fr-FR"/>
                        </w:rPr>
                      </w:pPr>
                      <w:r>
                        <w:rPr>
                          <w:lang w:val="fr-FR"/>
                        </w:rPr>
                        <w:t>R</w:t>
                      </w:r>
                      <w:r>
                        <w:rPr>
                          <w:lang w:val="fr-FR"/>
                        </w:rPr>
                        <w:softHyphen/>
                        <w:t>t est la r</w:t>
                      </w:r>
                      <w:r w:rsidRPr="005D1BCA">
                        <w:rPr>
                          <w:lang w:val="fr-FR"/>
                        </w:rPr>
                        <w:t>ési</w:t>
                      </w:r>
                      <w:r>
                        <w:rPr>
                          <w:lang w:val="fr-FR"/>
                        </w:rPr>
                        <w:t>stance à une temérature T (en Kelvin)</w:t>
                      </w:r>
                    </w:p>
                    <w:p w14:paraId="18746E01" w14:textId="3F7ADA04" w:rsidR="005D1BCA" w:rsidRDefault="005D1BCA">
                      <w:pPr>
                        <w:rPr>
                          <w:lang w:val="fr-FR"/>
                        </w:rPr>
                      </w:pPr>
                      <w:r>
                        <w:rPr>
                          <w:rFonts w:hint="eastAsia"/>
                          <w:lang w:val="fr-FR"/>
                        </w:rPr>
                        <w:t>T</w:t>
                      </w:r>
                      <w:r>
                        <w:rPr>
                          <w:lang w:val="fr-FR"/>
                        </w:rPr>
                        <w:t>0=25( température de référence)</w:t>
                      </w:r>
                    </w:p>
                    <w:p w14:paraId="670AADFB" w14:textId="7A6006CB" w:rsidR="005D1BCA" w:rsidRPr="005D1BCA" w:rsidRDefault="005D1BCA">
                      <w:pPr>
                        <w:rPr>
                          <w:rFonts w:hint="eastAsia"/>
                          <w:lang w:val="fr-FR"/>
                        </w:rPr>
                      </w:pPr>
                      <w:r>
                        <w:rPr>
                          <w:rFonts w:asciiTheme="minorEastAsia" w:hAnsiTheme="minorEastAsia" w:hint="eastAsia"/>
                          <w:lang w:val="fr-FR"/>
                        </w:rPr>
                        <w:t>β</w:t>
                      </w:r>
                      <w:r>
                        <w:rPr>
                          <w:rFonts w:hint="eastAsia"/>
                          <w:lang w:val="fr-FR"/>
                        </w:rPr>
                        <w:t xml:space="preserve"> </w:t>
                      </w:r>
                      <w:r>
                        <w:rPr>
                          <w:lang w:val="fr-FR"/>
                        </w:rPr>
                        <w:t>est un constante qui dépend du matériaux choisis.</w:t>
                      </w:r>
                    </w:p>
                  </w:txbxContent>
                </v:textbox>
                <w10:wrap type="square"/>
              </v:shape>
            </w:pict>
          </mc:Fallback>
        </mc:AlternateContent>
      </w:r>
      <w:r>
        <w:rPr>
          <w:noProof/>
        </w:rPr>
        <w:drawing>
          <wp:inline distT="0" distB="0" distL="0" distR="0" wp14:anchorId="79581C4F" wp14:editId="33EFCA58">
            <wp:extent cx="1695450" cy="1647914"/>
            <wp:effectExtent l="0" t="0" r="0" b="9525"/>
            <wp:docPr id="3" name="图片 3" descr="characteristics of ptc therm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acteristics of ptc thermis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1084" cy="1663110"/>
                    </a:xfrm>
                    <a:prstGeom prst="rect">
                      <a:avLst/>
                    </a:prstGeom>
                    <a:noFill/>
                    <a:ln>
                      <a:noFill/>
                    </a:ln>
                  </pic:spPr>
                </pic:pic>
              </a:graphicData>
            </a:graphic>
          </wp:inline>
        </w:drawing>
      </w:r>
      <w:r>
        <w:rPr>
          <w:noProof/>
        </w:rPr>
        <w:drawing>
          <wp:inline distT="0" distB="0" distL="0" distR="0" wp14:anchorId="7619F80D" wp14:editId="4DA21E93">
            <wp:extent cx="6350275" cy="787400"/>
            <wp:effectExtent l="0" t="0" r="0" b="0"/>
            <wp:docPr id="4" name="图片 4" descr="https://www.electrical4u.com/equations/thermistor-equatio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lectrical4u.com/equations/thermistor-equation-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6245" cy="790620"/>
                    </a:xfrm>
                    <a:prstGeom prst="rect">
                      <a:avLst/>
                    </a:prstGeom>
                    <a:noFill/>
                    <a:ln>
                      <a:noFill/>
                    </a:ln>
                  </pic:spPr>
                </pic:pic>
              </a:graphicData>
            </a:graphic>
          </wp:inline>
        </w:drawing>
      </w:r>
    </w:p>
    <w:p w14:paraId="57A80E23" w14:textId="3B2F54F5" w:rsidR="002E4ACB" w:rsidRPr="003D4600" w:rsidRDefault="002E4ACB">
      <w:pPr>
        <w:rPr>
          <w:rFonts w:hint="eastAsia"/>
          <w:lang w:val="fr-FR"/>
        </w:rPr>
      </w:pPr>
      <w:r w:rsidRPr="003D4600">
        <w:rPr>
          <w:lang w:val="fr-FR"/>
        </w:rPr>
        <w:t>En augmenta</w:t>
      </w:r>
      <w:r w:rsidR="003D4600" w:rsidRPr="003D4600">
        <w:rPr>
          <w:lang w:val="fr-FR"/>
        </w:rPr>
        <w:t>nt la tempé</w:t>
      </w:r>
      <w:r w:rsidR="003D4600">
        <w:rPr>
          <w:lang w:val="fr-FR"/>
        </w:rPr>
        <w:t>rature du semi-conducteur, cela conduit à l’augmentation de particules portant une charge électrique( en général un électron) mais avec l’oxide de nickel, ce sont les trous électroniques(un lieu où il manque un électron dans le flux) qui deviennent les porteurs. La charge devient donc positive.</w:t>
      </w:r>
    </w:p>
    <w:p w14:paraId="23270836" w14:textId="14C9337D" w:rsidR="000F76BF" w:rsidRPr="00445B56" w:rsidRDefault="00D2257E">
      <w:pPr>
        <w:rPr>
          <w:lang w:val="fr-FR"/>
        </w:rPr>
      </w:pPr>
      <w:hyperlink r:id="rId12" w:history="1">
        <w:r w:rsidRPr="004B2279">
          <w:rPr>
            <w:rStyle w:val="a7"/>
            <w:lang w:val="fr-FR"/>
          </w:rPr>
          <w:t>https://www.brighthubengineering.com/hvac/53511-how-a-thermistor-works/</w:t>
        </w:r>
      </w:hyperlink>
    </w:p>
    <w:p w14:paraId="391E289F" w14:textId="51C1AED2" w:rsidR="002E4ACB" w:rsidRDefault="002E4ACB">
      <w:hyperlink r:id="rId13" w:history="1">
        <w:r w:rsidRPr="004B2279">
          <w:rPr>
            <w:rStyle w:val="a7"/>
          </w:rPr>
          <w:t>https://www.electrical4u.com/thermistor-thermometer-thermistor-temperature-sensor-construction-principle/</w:t>
        </w:r>
      </w:hyperlink>
    </w:p>
    <w:p w14:paraId="6F7380E7" w14:textId="057F019C" w:rsidR="002E4ACB" w:rsidRDefault="003D4600">
      <w:hyperlink r:id="rId14" w:history="1">
        <w:r w:rsidRPr="004B2279">
          <w:rPr>
            <w:rStyle w:val="a7"/>
          </w:rPr>
          <w:t>https://en.wikipedia.org/wiki/Thermistor</w:t>
        </w:r>
      </w:hyperlink>
    </w:p>
    <w:p w14:paraId="135DAA4E" w14:textId="5211E4EB" w:rsidR="003D4600" w:rsidRDefault="003D4600">
      <w:hyperlink r:id="rId15" w:history="1">
        <w:r w:rsidRPr="004B2279">
          <w:rPr>
            <w:rStyle w:val="a7"/>
          </w:rPr>
          <w:t>https://en.wikipedia.org/wiki/Charge_carrier</w:t>
        </w:r>
      </w:hyperlink>
    </w:p>
    <w:p w14:paraId="3943ABA6" w14:textId="0B40D9F0" w:rsidR="003D4600" w:rsidRDefault="00D2257E">
      <w:hyperlink r:id="rId16" w:history="1">
        <w:r w:rsidRPr="004B2279">
          <w:rPr>
            <w:rStyle w:val="a7"/>
          </w:rPr>
          <w:t>https://en.wikipedia.org/wiki/Electron_hole</w:t>
        </w:r>
      </w:hyperlink>
    </w:p>
    <w:p w14:paraId="0B5F8230" w14:textId="77777777" w:rsidR="00D2257E" w:rsidRPr="00D2257E" w:rsidRDefault="00D2257E">
      <w:pPr>
        <w:rPr>
          <w:rFonts w:hint="eastAsia"/>
        </w:rPr>
      </w:pPr>
    </w:p>
    <w:p w14:paraId="6E455C0A" w14:textId="0CE22DF1" w:rsidR="00A738A7" w:rsidRPr="002E4ACB" w:rsidRDefault="00A738A7"/>
    <w:sectPr w:rsidR="00A738A7" w:rsidRPr="002E4A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050FC" w14:textId="77777777" w:rsidR="00CD533E" w:rsidRDefault="00CD533E" w:rsidP="00A738A7">
      <w:r>
        <w:separator/>
      </w:r>
    </w:p>
  </w:endnote>
  <w:endnote w:type="continuationSeparator" w:id="0">
    <w:p w14:paraId="367083AF" w14:textId="77777777" w:rsidR="00CD533E" w:rsidRDefault="00CD533E" w:rsidP="00A73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B4FA56" w14:textId="77777777" w:rsidR="00CD533E" w:rsidRDefault="00CD533E" w:rsidP="00A738A7">
      <w:r>
        <w:separator/>
      </w:r>
    </w:p>
  </w:footnote>
  <w:footnote w:type="continuationSeparator" w:id="0">
    <w:p w14:paraId="499567A8" w14:textId="77777777" w:rsidR="00CD533E" w:rsidRDefault="00CD533E" w:rsidP="00A738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DE9"/>
    <w:rsid w:val="000C19CF"/>
    <w:rsid w:val="000F76BF"/>
    <w:rsid w:val="001272B6"/>
    <w:rsid w:val="001C2E9E"/>
    <w:rsid w:val="0021471D"/>
    <w:rsid w:val="002E4ACB"/>
    <w:rsid w:val="003A7929"/>
    <w:rsid w:val="003D4600"/>
    <w:rsid w:val="00436DE9"/>
    <w:rsid w:val="00445B56"/>
    <w:rsid w:val="005D1BCA"/>
    <w:rsid w:val="006642E6"/>
    <w:rsid w:val="006C6A85"/>
    <w:rsid w:val="007A6DE1"/>
    <w:rsid w:val="00894CA3"/>
    <w:rsid w:val="008C5B33"/>
    <w:rsid w:val="00964AB6"/>
    <w:rsid w:val="009E77B2"/>
    <w:rsid w:val="00A738A7"/>
    <w:rsid w:val="00AA395A"/>
    <w:rsid w:val="00AE5D73"/>
    <w:rsid w:val="00B475E6"/>
    <w:rsid w:val="00B67697"/>
    <w:rsid w:val="00CD533E"/>
    <w:rsid w:val="00D2257E"/>
    <w:rsid w:val="00E65A53"/>
    <w:rsid w:val="00EB3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4B287"/>
  <w15:chartTrackingRefBased/>
  <w15:docId w15:val="{C3E02FA1-C058-449E-8F14-F55D4E44A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38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38A7"/>
    <w:rPr>
      <w:sz w:val="18"/>
      <w:szCs w:val="18"/>
    </w:rPr>
  </w:style>
  <w:style w:type="paragraph" w:styleId="a5">
    <w:name w:val="footer"/>
    <w:basedOn w:val="a"/>
    <w:link w:val="a6"/>
    <w:uiPriority w:val="99"/>
    <w:unhideWhenUsed/>
    <w:rsid w:val="00A738A7"/>
    <w:pPr>
      <w:tabs>
        <w:tab w:val="center" w:pos="4153"/>
        <w:tab w:val="right" w:pos="8306"/>
      </w:tabs>
      <w:snapToGrid w:val="0"/>
      <w:jc w:val="left"/>
    </w:pPr>
    <w:rPr>
      <w:sz w:val="18"/>
      <w:szCs w:val="18"/>
    </w:rPr>
  </w:style>
  <w:style w:type="character" w:customStyle="1" w:styleId="a6">
    <w:name w:val="页脚 字符"/>
    <w:basedOn w:val="a0"/>
    <w:link w:val="a5"/>
    <w:uiPriority w:val="99"/>
    <w:rsid w:val="00A738A7"/>
    <w:rPr>
      <w:sz w:val="18"/>
      <w:szCs w:val="18"/>
    </w:rPr>
  </w:style>
  <w:style w:type="character" w:styleId="a7">
    <w:name w:val="Hyperlink"/>
    <w:basedOn w:val="a0"/>
    <w:uiPriority w:val="99"/>
    <w:unhideWhenUsed/>
    <w:rsid w:val="008C5B33"/>
    <w:rPr>
      <w:color w:val="0563C1" w:themeColor="hyperlink"/>
      <w:u w:val="single"/>
    </w:rPr>
  </w:style>
  <w:style w:type="character" w:styleId="a8">
    <w:name w:val="Unresolved Mention"/>
    <w:basedOn w:val="a0"/>
    <w:uiPriority w:val="99"/>
    <w:semiHidden/>
    <w:unhideWhenUsed/>
    <w:rsid w:val="008C5B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sources.univ-lemans.fr/AccesLibre/UM/Pedago/physique/02/electro/photores.html" TargetMode="External"/><Relationship Id="rId13" Type="http://schemas.openxmlformats.org/officeDocument/2006/relationships/hyperlink" Target="https://www.electrical4u.com/thermistor-thermometer-thermistor-temperature-sensor-construction-principle/"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f5zv.pagesperso-orange.fr/RADIO/RM/RM24/RM24B/RM24B10.html" TargetMode="External"/><Relationship Id="rId12" Type="http://schemas.openxmlformats.org/officeDocument/2006/relationships/hyperlink" Target="https://www.brighthubengineering.com/hvac/53511-how-a-thermistor-work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Electron_hole"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gif"/><Relationship Id="rId5" Type="http://schemas.openxmlformats.org/officeDocument/2006/relationships/endnotes" Target="endnotes.xml"/><Relationship Id="rId15" Type="http://schemas.openxmlformats.org/officeDocument/2006/relationships/hyperlink" Target="https://en.wikipedia.org/wiki/Charge_carrier" TargetMode="External"/><Relationship Id="rId10" Type="http://schemas.openxmlformats.org/officeDocument/2006/relationships/image" Target="media/image3.gif"/><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s://en.wikipedia.org/wiki/Thermisto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395</Words>
  <Characters>2253</Characters>
  <Application>Microsoft Office Word</Application>
  <DocSecurity>0</DocSecurity>
  <Lines>18</Lines>
  <Paragraphs>5</Paragraphs>
  <ScaleCrop>false</ScaleCrop>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dc:creator>
  <cp:keywords/>
  <dc:description/>
  <cp:lastModifiedBy>aw</cp:lastModifiedBy>
  <cp:revision>16</cp:revision>
  <dcterms:created xsi:type="dcterms:W3CDTF">2018-10-24T07:17:00Z</dcterms:created>
  <dcterms:modified xsi:type="dcterms:W3CDTF">2018-11-06T08:04:00Z</dcterms:modified>
</cp:coreProperties>
</file>