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VRS Prototype — Role Working Views (for Ken’s validation)</w:t>
      </w:r>
    </w:p>
    <w:p>
      <w:r>
        <w:t>Ken — for the new VRS prototype we are designing each role’s primary screen around what that person actually works from day to day. Below is our current understanding. Please correct anything that is wrong or incomplete (red is fine), and please answer the question at the bottom.</w:t>
      </w:r>
    </w:p>
    <w:p>
      <w:r>
        <w:t>Note: “their slice” vs “the whole book” just means whether a role normally works only their own portion or sees everything.</w:t>
      </w:r>
    </w:p>
    <w:tbl>
      <w:tblPr>
        <w:tblStyle w:val="TableGrid"/>
        <w:tblW w:type="auto" w:w="0"/>
        <w:tblLayout w:type="fixed"/>
        <w:tblLook w:firstColumn="1" w:firstRow="1" w:lastColumn="0" w:lastRow="0" w:noHBand="0" w:noVBand="1" w:val="04A0"/>
      </w:tblPr>
      <w:tblGrid>
        <w:gridCol w:w="3312"/>
        <w:gridCol w:w="3312"/>
        <w:gridCol w:w="3312"/>
      </w:tblGrid>
      <w:tr>
        <w:tc>
          <w:tcPr>
            <w:tcW w:type="dxa" w:w="2448"/>
            <w:shd w:val="clear" w:color="auto" w:fill="D9D9D9"/>
          </w:tcPr>
          <w:p>
            <w:pPr>
              <w:spacing w:after="60"/>
            </w:pPr>
            <w:r>
              <w:rPr>
                <w:b/>
                <w:color w:val="000000"/>
                <w:sz w:val="20"/>
              </w:rPr>
              <w:t>Role</w:t>
            </w:r>
          </w:p>
        </w:tc>
        <w:tc>
          <w:tcPr>
            <w:tcW w:type="dxa" w:w="5760"/>
            <w:shd w:val="clear" w:color="auto" w:fill="D9D9D9"/>
          </w:tcPr>
          <w:p>
            <w:pPr>
              <w:spacing w:after="60"/>
            </w:pPr>
            <w:r>
              <w:rPr>
                <w:b/>
                <w:color w:val="000000"/>
                <w:sz w:val="20"/>
              </w:rPr>
              <w:t>Our understanding of how they work and what they consider “theirs”</w:t>
            </w:r>
          </w:p>
        </w:tc>
        <w:tc>
          <w:tcPr>
            <w:tcW w:type="dxa" w:w="2160"/>
            <w:shd w:val="clear" w:color="auto" w:fill="D9D9D9"/>
          </w:tcPr>
          <w:p>
            <w:pPr>
              <w:spacing w:after="60"/>
            </w:pPr>
            <w:r>
              <w:rPr>
                <w:b/>
                <w:color w:val="000000"/>
                <w:sz w:val="20"/>
              </w:rPr>
              <w:t>Correct? / Your notes</w:t>
            </w:r>
          </w:p>
        </w:tc>
      </w:tr>
      <w:tr>
        <w:tc>
          <w:tcPr>
            <w:tcW w:type="dxa" w:w="2448"/>
          </w:tcPr>
          <w:p>
            <w:pPr>
              <w:spacing w:after="60"/>
            </w:pPr>
            <w:r>
              <w:rPr>
                <w:b w:val="0"/>
                <w:color w:val="000000"/>
                <w:sz w:val="20"/>
              </w:rPr>
              <w:t>AP Analyst</w:t>
            </w:r>
          </w:p>
        </w:tc>
        <w:tc>
          <w:tcPr>
            <w:tcW w:type="dxa" w:w="5760"/>
          </w:tcPr>
          <w:p>
            <w:pPr>
              <w:spacing w:after="60"/>
            </w:pPr>
            <w:r>
              <w:rPr>
                <w:b w:val="0"/>
                <w:color w:val="000000"/>
                <w:sz w:val="20"/>
              </w:rPr>
              <w:t>Works the open period: maintains rebate programs, works the Approval Queue, enters deductions / checks / adjustments, and spends significant time verifying that calculations are correct. Knows what is “theirs” by the Merch Types they are the named analyst for — but this is soft (any analyst can work any rebate). There is no dedicated “my work” screen today.</w:t>
            </w:r>
          </w:p>
        </w:tc>
        <w:tc>
          <w:tcPr>
            <w:tcW w:type="dxa" w:w="2160"/>
          </w:tcPr>
          <w:p>
            <w:pPr>
              <w:spacing w:after="60"/>
            </w:pPr>
            <w:r>
              <w:rPr>
                <w:b w:val="0"/>
                <w:color w:val="000000"/>
                <w:sz w:val="20"/>
              </w:rPr>
            </w:r>
          </w:p>
        </w:tc>
      </w:tr>
      <w:tr>
        <w:tc>
          <w:tcPr>
            <w:tcW w:type="dxa" w:w="2448"/>
          </w:tcPr>
          <w:p>
            <w:pPr>
              <w:spacing w:after="60"/>
            </w:pPr>
            <w:r>
              <w:rPr>
                <w:b w:val="0"/>
                <w:color w:val="000000"/>
                <w:sz w:val="20"/>
              </w:rPr>
              <w:t>AP Supervisor / Manager (VRS_ADMIN / MANAGER / SUPERVISOR)</w:t>
            </w:r>
          </w:p>
        </w:tc>
        <w:tc>
          <w:tcPr>
            <w:tcW w:type="dxa" w:w="5760"/>
          </w:tcPr>
          <w:p>
            <w:pPr>
              <w:spacing w:after="60"/>
            </w:pPr>
            <w:r>
              <w:rPr>
                <w:b w:val="0"/>
                <w:color w:val="000000"/>
                <w:sz w:val="20"/>
              </w:rPr>
              <w:t>Performs the month-end Review → Approve → Distribute → Finalize and oversees the analysts; VRS_ADMIN also manages security. Watches where period-close work and verification effort are concentrated across all merch areas.</w:t>
            </w:r>
          </w:p>
        </w:tc>
        <w:tc>
          <w:tcPr>
            <w:tcW w:type="dxa" w:w="2160"/>
          </w:tcPr>
          <w:p>
            <w:pPr>
              <w:spacing w:after="60"/>
            </w:pPr>
            <w:r>
              <w:rPr>
                <w:b w:val="0"/>
                <w:color w:val="000000"/>
                <w:sz w:val="20"/>
              </w:rPr>
            </w:r>
          </w:p>
        </w:tc>
      </w:tr>
      <w:tr>
        <w:tc>
          <w:tcPr>
            <w:tcW w:type="dxa" w:w="2448"/>
          </w:tcPr>
          <w:p>
            <w:pPr>
              <w:spacing w:after="60"/>
            </w:pPr>
            <w:r>
              <w:rPr>
                <w:b w:val="0"/>
                <w:color w:val="000000"/>
                <w:sz w:val="20"/>
              </w:rPr>
              <w:t>Finance / Audit / Executive (read-only)</w:t>
            </w:r>
          </w:p>
        </w:tc>
        <w:tc>
          <w:tcPr>
            <w:tcW w:type="dxa" w:w="5760"/>
          </w:tcPr>
          <w:p>
            <w:pPr>
              <w:spacing w:after="60"/>
            </w:pPr>
            <w:r>
              <w:rPr>
                <w:b w:val="0"/>
                <w:color w:val="000000"/>
                <w:sz w:val="20"/>
              </w:rPr>
              <w:t>Looks at the whole book — Annual Earnings, and Forecast vs Actual, thought of by Merch Type — for magnitude and trend. Does no transactional work.</w:t>
            </w:r>
          </w:p>
        </w:tc>
        <w:tc>
          <w:tcPr>
            <w:tcW w:type="dxa" w:w="2160"/>
          </w:tcPr>
          <w:p>
            <w:pPr>
              <w:spacing w:after="60"/>
            </w:pPr>
            <w:r>
              <w:rPr>
                <w:b w:val="0"/>
                <w:color w:val="000000"/>
                <w:sz w:val="20"/>
              </w:rPr>
            </w:r>
          </w:p>
        </w:tc>
      </w:tr>
      <w:tr>
        <w:tc>
          <w:tcPr>
            <w:tcW w:type="dxa" w:w="2448"/>
          </w:tcPr>
          <w:p>
            <w:pPr>
              <w:spacing w:after="60"/>
            </w:pPr>
            <w:r>
              <w:rPr>
                <w:b w:val="0"/>
                <w:color w:val="000000"/>
                <w:sz w:val="20"/>
              </w:rPr>
              <w:t>MDSE Buyer / Buyer Delegate</w:t>
            </w:r>
          </w:p>
        </w:tc>
        <w:tc>
          <w:tcPr>
            <w:tcW w:type="dxa" w:w="5760"/>
          </w:tcPr>
          <w:p>
            <w:pPr>
              <w:spacing w:after="60"/>
            </w:pPr>
            <w:r>
              <w:rPr>
                <w:b w:val="0"/>
                <w:color w:val="000000"/>
                <w:sz w:val="20"/>
              </w:rPr>
              <w:t>Owns their Agreements (a Buyer creates only for themselves; a Delegate acts as proxy for specific Buyers). Monitors whether earnings are tracking below expectation; uses the Buyers Dashboard / Buyers Report.</w:t>
            </w:r>
          </w:p>
        </w:tc>
        <w:tc>
          <w:tcPr>
            <w:tcW w:type="dxa" w:w="2160"/>
          </w:tcPr>
          <w:p>
            <w:pPr>
              <w:spacing w:after="60"/>
            </w:pPr>
            <w:r>
              <w:rPr>
                <w:b w:val="0"/>
                <w:color w:val="000000"/>
                <w:sz w:val="20"/>
              </w:rPr>
            </w:r>
          </w:p>
        </w:tc>
      </w:tr>
      <w:tr>
        <w:tc>
          <w:tcPr>
            <w:tcW w:type="dxa" w:w="2448"/>
          </w:tcPr>
          <w:p>
            <w:pPr>
              <w:spacing w:after="60"/>
            </w:pPr>
            <w:r>
              <w:rPr>
                <w:b w:val="0"/>
                <w:color w:val="000000"/>
                <w:sz w:val="20"/>
              </w:rPr>
              <w:t>DMM / GMM / SVP</w:t>
            </w:r>
          </w:p>
        </w:tc>
        <w:tc>
          <w:tcPr>
            <w:tcW w:type="dxa" w:w="5760"/>
          </w:tcPr>
          <w:p>
            <w:pPr>
              <w:spacing w:after="60"/>
            </w:pPr>
            <w:r>
              <w:rPr>
                <w:b w:val="0"/>
                <w:color w:val="000000"/>
                <w:sz w:val="20"/>
              </w:rPr>
              <w:t>Primarily approvers — “Move Forward” agreements above the thresholds (over $250K → DMM, over $1M → GMM), and oversee the Buyers / DMMs beneath them.</w:t>
            </w:r>
          </w:p>
        </w:tc>
        <w:tc>
          <w:tcPr>
            <w:tcW w:type="dxa" w:w="2160"/>
          </w:tcPr>
          <w:p>
            <w:pPr>
              <w:spacing w:after="60"/>
            </w:pPr>
            <w:r>
              <w:rPr>
                <w:b w:val="0"/>
                <w:color w:val="000000"/>
                <w:sz w:val="20"/>
              </w:rPr>
            </w:r>
          </w:p>
        </w:tc>
      </w:tr>
      <w:tr>
        <w:tc>
          <w:tcPr>
            <w:tcW w:type="dxa" w:w="2448"/>
          </w:tcPr>
          <w:p>
            <w:pPr>
              <w:spacing w:after="60"/>
            </w:pPr>
            <w:r>
              <w:rPr>
                <w:b w:val="0"/>
                <w:color w:val="000000"/>
                <w:sz w:val="20"/>
              </w:rPr>
              <w:t>FPA Supervisor</w:t>
            </w:r>
          </w:p>
        </w:tc>
        <w:tc>
          <w:tcPr>
            <w:tcW w:type="dxa" w:w="5760"/>
          </w:tcPr>
          <w:p>
            <w:pPr>
              <w:spacing w:after="60"/>
            </w:pPr>
            <w:r>
              <w:rPr>
                <w:b w:val="0"/>
                <w:color w:val="000000"/>
                <w:sz w:val="20"/>
              </w:rPr>
              <w:t>Supports the MDSE side (forecasting), typically a rotating role with broad modify rights; management reporting is done outside VRS. We are least certain about this one — please describe what this role actually does day to day.</w:t>
            </w:r>
          </w:p>
        </w:tc>
        <w:tc>
          <w:tcPr>
            <w:tcW w:type="dxa" w:w="2160"/>
          </w:tcPr>
          <w:p>
            <w:pPr>
              <w:spacing w:after="60"/>
            </w:pPr>
            <w:r>
              <w:rPr>
                <w:b w:val="0"/>
                <w:color w:val="000000"/>
                <w:sz w:val="20"/>
              </w:rPr>
            </w:r>
          </w:p>
        </w:tc>
      </w:tr>
    </w:tbl>
    <w:p/>
    <w:p>
      <w:r>
        <w:rPr>
          <w:b/>
        </w:rPr>
        <w:t xml:space="preserve">One question we could not answer from the documentation: </w:t>
      </w:r>
      <w:r>
        <w:t>walk us through an AP analyst’s actual day — when they sit down, what do they open first, and how do they decide what to work on? This is central to the new design and we don’t want to guess.</w:t>
      </w:r>
    </w:p>
    <w:p/>
    <w:p>
      <w:r>
        <w:rPr>
          <w:i/>
        </w:rPr>
        <w:t>Thank you,</w:t>
      </w:r>
    </w:p>
    <w:p>
      <w:r>
        <w:t>David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