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6.640625" w:firstLine="0"/>
        <w:jc w:val="right"/>
        <w:rPr>
          <w:rFonts w:ascii="Times New Roman" w:cs="Times New Roman" w:eastAsia="Times New Roman" w:hAnsi="Times New Roman"/>
          <w:b w:val="0"/>
          <w:bCs w:val="0"/>
          <w:i w:val="0"/>
          <w:iCs w:val="0"/>
          <w:smallCaps w:val="0"/>
          <w:strike w:val="0"/>
          <w:color w:val="0f2b46"/>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17"/>
          <w:szCs w:val="17"/>
          <w:u w:val="none"/>
          <w:shd w:fill="auto" w:val="clear"/>
          <w:vertAlign w:val="baseline"/>
          <w:rtl w:val="0"/>
        </w:rPr>
        <w:t xml:space="preserve">Abonnez-vous à DeepL Pro pour traduire des fichiers plus volumineux.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3.0599975585938" w:right="0" w:firstLine="0"/>
        <w:jc w:val="left"/>
        <w:rPr>
          <w:rFonts w:ascii="Times New Roman" w:cs="Times New Roman" w:eastAsia="Times New Roman" w:hAnsi="Times New Roman"/>
          <w:b w:val="0"/>
          <w:bCs w:val="0"/>
          <w:i w:val="0"/>
          <w:iCs w:val="0"/>
          <w:smallCaps w:val="0"/>
          <w:strike w:val="0"/>
          <w:color w:val="0f2b46"/>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17"/>
          <w:szCs w:val="17"/>
          <w:u w:val="none"/>
          <w:shd w:fill="auto" w:val="clear"/>
          <w:vertAlign w:val="baseline"/>
          <w:rtl w:val="0"/>
        </w:rPr>
        <w:t xml:space="preserve">Visitez </w:t>
      </w:r>
      <w:r w:rsidDel="00000000" w:rsidR="00000000" w:rsidRPr="00000000">
        <w:rPr>
          <w:rFonts w:ascii="Times New Roman" w:cs="Times New Roman" w:eastAsia="Times New Roman" w:hAnsi="Times New Roman"/>
          <w:b w:val="0"/>
          <w:bCs w:val="0"/>
          <w:i w:val="0"/>
          <w:iCs w:val="0"/>
          <w:smallCaps w:val="0"/>
          <w:strike w:val="0"/>
          <w:color w:val="006494"/>
          <w:sz w:val="17"/>
          <w:szCs w:val="17"/>
          <w:u w:val="none"/>
          <w:shd w:fill="auto" w:val="clear"/>
          <w:vertAlign w:val="baseline"/>
          <w:rtl w:val="0"/>
        </w:rPr>
        <w:t xml:space="preserve">www.DeepL.com/pro </w:t>
      </w:r>
      <w:r w:rsidDel="00000000" w:rsidR="00000000" w:rsidRPr="00000000">
        <w:rPr>
          <w:rFonts w:ascii="Times New Roman" w:cs="Times New Roman" w:eastAsia="Times New Roman" w:hAnsi="Times New Roman"/>
          <w:b w:val="0"/>
          <w:bCs w:val="0"/>
          <w:i w:val="0"/>
          <w:iCs w:val="0"/>
          <w:smallCaps w:val="0"/>
          <w:strike w:val="0"/>
          <w:color w:val="0f2b46"/>
          <w:sz w:val="17"/>
          <w:szCs w:val="17"/>
          <w:u w:val="none"/>
          <w:shd w:fill="auto" w:val="clear"/>
          <w:vertAlign w:val="baseline"/>
          <w:rtl w:val="0"/>
        </w:rPr>
        <w:t xml:space="preserve">pour en savoir plus.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30419921875" w:line="240" w:lineRule="auto"/>
        <w:ind w:left="29.1799926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European Journal of Trauma and Emergency Surgery (2024) 50:1439–1452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994079589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https://doi.org/10.1007/s00068-023-02430-6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99609375" w:line="240" w:lineRule="auto"/>
        <w:ind w:left="0"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ARTICLE ORIGINAL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Pr>
        <w:drawing>
          <wp:inline distB="19050" distT="19050" distL="19050" distR="19050">
            <wp:extent cx="361734" cy="3619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734"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9736328125" w:line="224.9527072906494" w:lineRule="auto"/>
        <w:ind w:left="21.609954833984375" w:right="533.843994140625" w:firstLine="15.680007934570312"/>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Résultats fonctionnels à long terme dans les cas de polytraumatismes : une approche  fondamentalement nouvelle est nécessaire pour la prédiction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3837890625" w:line="240" w:lineRule="auto"/>
        <w:ind w:left="25.499954223632812"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Simone Meakes</w:t>
      </w:r>
      <w:r w:rsidDel="00000000" w:rsidR="00000000" w:rsidRPr="00000000">
        <w:rPr>
          <w:rFonts w:ascii="Arial" w:cs="Arial" w:eastAsia="Arial" w:hAnsi="Arial"/>
          <w:b w:val="1"/>
          <w:bCs w:val="1"/>
          <w:i w:val="0"/>
          <w:iCs w:val="0"/>
          <w:smallCaps w:val="0"/>
          <w:strike w:val="0"/>
          <w:color w:val="000000"/>
          <w:sz w:val="16.666666666666668"/>
          <w:szCs w:val="16.666666666666668"/>
          <w:u w:val="none"/>
          <w:shd w:fill="auto" w:val="clear"/>
          <w:vertAlign w:val="superscript"/>
          <w:rtl w:val="0"/>
        </w:rPr>
        <w:t xml:space="preserve">1,2</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Natalie Enninghorst</w:t>
      </w:r>
      <w:r w:rsidDel="00000000" w:rsidR="00000000" w:rsidRPr="00000000">
        <w:rPr>
          <w:rFonts w:ascii="Arial" w:cs="Arial" w:eastAsia="Arial" w:hAnsi="Arial"/>
          <w:b w:val="1"/>
          <w:bCs w:val="1"/>
          <w:i w:val="0"/>
          <w:iCs w:val="0"/>
          <w:smallCaps w:val="0"/>
          <w:strike w:val="0"/>
          <w:color w:val="000000"/>
          <w:sz w:val="16.666666666666668"/>
          <w:szCs w:val="16.666666666666668"/>
          <w:u w:val="none"/>
          <w:shd w:fill="auto" w:val="clear"/>
          <w:vertAlign w:val="superscript"/>
          <w:rtl w:val="0"/>
        </w:rPr>
        <w:t xml:space="preserve">2,3</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Natasha Weaver</w:t>
      </w:r>
      <w:r w:rsidDel="00000000" w:rsidR="00000000" w:rsidRPr="00000000">
        <w:rPr>
          <w:rFonts w:ascii="Arial" w:cs="Arial" w:eastAsia="Arial" w:hAnsi="Arial"/>
          <w:b w:val="1"/>
          <w:bCs w:val="1"/>
          <w:i w:val="0"/>
          <w:iCs w:val="0"/>
          <w:smallCaps w:val="0"/>
          <w:strike w:val="0"/>
          <w:color w:val="000000"/>
          <w:sz w:val="16.666666666666668"/>
          <w:szCs w:val="16.666666666666668"/>
          <w:u w:val="none"/>
          <w:shd w:fill="auto" w:val="clear"/>
          <w:vertAlign w:val="superscript"/>
          <w:rtl w:val="0"/>
        </w:rPr>
        <w:t xml:space="preserve">2,3</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Benjamin M. Hardy</w:t>
      </w:r>
      <w:r w:rsidDel="00000000" w:rsidR="00000000" w:rsidRPr="00000000">
        <w:rPr>
          <w:rFonts w:ascii="Arial" w:cs="Arial" w:eastAsia="Arial" w:hAnsi="Arial"/>
          <w:b w:val="1"/>
          <w:bCs w:val="1"/>
          <w:i w:val="0"/>
          <w:iCs w:val="0"/>
          <w:smallCaps w:val="0"/>
          <w:strike w:val="0"/>
          <w:color w:val="000000"/>
          <w:sz w:val="16.666666666666668"/>
          <w:szCs w:val="16.666666666666668"/>
          <w:u w:val="none"/>
          <w:shd w:fill="auto" w:val="clear"/>
          <w:vertAlign w:val="superscript"/>
          <w:rtl w:val="0"/>
        </w:rPr>
        <w:t xml:space="preserve">1,2,3</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 Zsolt J. Balogh</w:t>
      </w:r>
      <w:r w:rsidDel="00000000" w:rsidR="00000000" w:rsidRPr="00000000">
        <w:rPr>
          <w:rFonts w:ascii="Arial" w:cs="Arial" w:eastAsia="Arial" w:hAnsi="Arial"/>
          <w:b w:val="1"/>
          <w:bCs w:val="1"/>
          <w:i w:val="0"/>
          <w:iCs w:val="0"/>
          <w:smallCaps w:val="0"/>
          <w:strike w:val="0"/>
          <w:color w:val="000000"/>
          <w:sz w:val="16.666666666666668"/>
          <w:szCs w:val="16.666666666666668"/>
          <w:u w:val="none"/>
          <w:shd w:fill="auto" w:val="clear"/>
          <w:vertAlign w:val="superscript"/>
          <w:rtl w:val="0"/>
        </w:rPr>
        <w:t xml:space="preserve">1,2,3</w:t>
      </w:r>
      <w:r w:rsidDel="00000000" w:rsidR="00000000" w:rsidRPr="00000000">
        <w:rPr>
          <w:rFonts w:ascii="Arial" w:cs="Arial" w:eastAsia="Arial" w:hAnsi="Arial"/>
          <w:b w:val="1"/>
          <w:bCs w:val="1"/>
          <w:i w:val="0"/>
          <w:iCs w:val="0"/>
          <w:smallCaps w:val="0"/>
          <w:strike w:val="0"/>
          <w:color w:val="000000"/>
          <w:sz w:val="16.666666666666668"/>
          <w:szCs w:val="16.666666666666668"/>
          <w:u w:val="none"/>
          <w:shd w:fill="auto" w:val="clear"/>
          <w:vertAlign w:val="superscript"/>
        </w:rPr>
        <w:drawing>
          <wp:inline distB="19050" distT="19050" distL="19050" distR="19050">
            <wp:extent cx="105854" cy="1058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5854" cy="10584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884765625" w:line="240" w:lineRule="auto"/>
        <w:ind w:left="29.1799926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ç</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 le 14 septembre 2023 / Accept</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é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 28 d</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é</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cembre 2023 / Publi</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é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 ligne le 15 f</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é</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vrier 2024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9983520507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Les auteurs 2024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19677734375" w:line="240" w:lineRule="auto"/>
        <w:ind w:left="29.74998474121093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Résumé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712890625" w:line="236.6532039642334" w:lineRule="auto"/>
        <w:ind w:left="19.549942016601562" w:right="149.76318359375" w:firstLine="4.589996337890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Objectif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soins traumatologiques modernes ont permis de réduire la mortalité, mais les résultats à long terme sont souvent médiocres, avec de  faibles taux de suivi et des recommandations d'amélioration limitées. L'objectif de cette étude était de décrire l'impact des blessures graves sur la  qualité de vie liée à la santé, de caractériser spécifiquement la population non répondeuse et d'identifier les facteurs prédictifs modifiables de  résultats moins bons.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6875" w:line="235.29846668243408" w:lineRule="auto"/>
        <w:ind w:left="19.889984130859375" w:right="150.95458984375" w:firstLine="6.969985961914062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Méthodes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Une étude de cohorte prospective sur cinq ans (2012-2016) a été menée dans un centre de traumatologie de niveau 1. Le questionnaire  SF36 (Short-Form Health Survey) a été administré à l'admission, puis 6 et 12 mois après la blessure, en même temps que des questions sur les  données démographiques, le mécanisme et la gravité de la blessure, le bien-être psychosocial et la capacité de retour au travail.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Résultats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Sur les 306 patients consécutifs [âge 52 ± 17 ans, 72 % d'hommes, ISS 21 (17, 29), mortalité 5 %], 195 (64 %) ont rempli les  questionnaires au début de l'étude et à 12 mois. Les scores de santé physique avant la blessure étaient supérieurs à ceux de la population générale  (53,1 contre 50,3,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et la composante santé mentale était conforme aux normes de la population (51,7 contre 52,9,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0,065). Un an  après la blessure, les scores de santé physique (13,2, IC à 95 % 14,8, 11,6) et mentale (6,0, IC à 95 % 8,1, 3,8) étaient nettement inférieurs aux  valeurs de référence avant la blessure, ajustées en fonction de l'âge et du sexe. Les non-répondeurs avaient un ISS similaire, mais un score GCS  à l'admission plus faible, et étaient plus susceptibles d'être plus jeunes et de ne pas présenter de comorbidités, d'avoir un emploi ou d'avoir suivi  des études universitaires.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4833984375" w:line="236.65344715118408" w:lineRule="auto"/>
        <w:ind w:left="18.19000244140625" w:right="156.051025390625" w:firstLine="5.9499359130859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Contrairement à leur état de santé avant l'accident, meilleur que la norme de la population, les patients polytraumatisés restent  fonctionnellement handicapés au moins un an après l'accident. Le risque élevé identifié pour le groupe non répondeur nécessite des efforts de  suivi plus ciblés. Une approche fondamentalement différente est nécessaire dans la recherche sur les polytraumatismes, qui identifie les facteurs  prédictifs modifiables de mauvais résultats à long terme.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00830078125" w:line="240" w:lineRule="auto"/>
        <w:ind w:left="26.859970092773438"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Mots-clés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Polytraumatisme · SF36 · Post-traumatique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404296875" w:line="240" w:lineRule="auto"/>
        <w:ind w:left="0" w:right="4211.971435546875" w:firstLine="0"/>
        <w:jc w:val="righ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singl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Contexte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300537109375" w:line="240" w:lineRule="auto"/>
        <w:ind w:left="19.779968261718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pgSz w:h="15820" w:w="11900" w:orient="portrait"/>
          <w:pgMar w:bottom="1320.5398559570312" w:top="368.699951171875" w:left="1001.4700317382812" w:right="807.67822265625" w:header="0" w:footer="720"/>
          <w:pgNumType w:start="1"/>
        </w:sect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Zsolt J. Balogh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00976562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Zsolt.Balogh@health.nsw.gov.au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00439453125" w:line="308.0324077606201" w:lineRule="auto"/>
        <w:ind w:left="280.10009765625" w:right="1240.2206420898438" w:firstLine="11.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Simone Meakes Simone.Meakes@health.nsw.gov.au Natalie Enninghorst Natalie.Enninghorst@newcastle.edu.au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79833984375" w:line="240" w:lineRule="auto"/>
        <w:ind w:left="280.1000976562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Natasha Weaver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000976562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Natasha.Weaver@newcastle.edu.au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960205078125" w:line="240" w:lineRule="auto"/>
        <w:ind w:left="284.45007324218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Benjamin M. Hardy Benjamin.Hardy@health.nsw.gov.au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97021484375" w:line="216.1626148223877" w:lineRule="auto"/>
        <w:ind w:left="0" w:right="1066.79931640625" w:firstLine="9.599990844726562"/>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666666666666668"/>
          <w:szCs w:val="16.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Département de traumatologie, Hôpital John Hunter et  Université de Newcastle, Newcastle, NSW 2310, Australie </w:t>
      </w:r>
      <w:r w:rsidDel="00000000" w:rsidR="00000000" w:rsidRPr="00000000">
        <w:rPr>
          <w:rFonts w:ascii="Times New Roman" w:cs="Times New Roman" w:eastAsia="Times New Roman" w:hAnsi="Times New Roman"/>
          <w:b w:val="0"/>
          <w:bCs w:val="0"/>
          <w:i w:val="0"/>
          <w:iCs w:val="0"/>
          <w:smallCaps w:val="0"/>
          <w:strike w:val="0"/>
          <w:color w:val="000000"/>
          <w:sz w:val="16.666666666666668"/>
          <w:szCs w:val="16.666666666666668"/>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Programme de recherche sur les blessures et les  traumatismes, Hunter Medical Research Institute, Newcastle,  Australie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0389404296875" w:line="206.588716506958" w:lineRule="auto"/>
        <w:ind w:left="0.1000213623046875" w:right="1138.9508056640625" w:firstLine="2.900009155273437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666666666666668"/>
          <w:szCs w:val="16.666666666666668"/>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Université de Newcastle, Newcastle, Nouvelle-Galles du Sud,  Australie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88671875" w:line="234.68753814697266" w:lineRule="auto"/>
        <w:ind w:left="40.560302734375" w:right="38.778076171875" w:firstLine="3.74023437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progrès réalisés au cours de la dernière décennie dans les soins  préhospitaliers et les systèmes de traumatologie robustes au cours de la dernière décennie ont amélioré les chances de survie en  cas de blessures graves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Cependant, les progrès en matière de  mortalité hospitalière ont atteint un plateau, et les survivants de  traumatismes sont désormais confrontés à des défis uniques pour  retrouver leur état de santé d'avant l'accident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2-11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21142578125" w:line="236.10551834106445" w:lineRule="auto"/>
        <w:ind w:left="40.72998046875" w:right="201.630859375" w:firstLine="230.5706787109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21.1000061035156" w:right="797.67822265625" w:header="0" w:footer="720"/>
          <w:cols w:equalWidth="0" w:num="2">
            <w:col w:space="0" w:w="5060"/>
            <w:col w:space="0" w:w="506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blessures traumatiques sont la principale cause de morbidité à  long terme chez les personnes gravement blessées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La mortalité  liée aux blessures a diminué, mais les effets à long terme des  blessures graves, tels que les troubles fonctionnels et les handicaps,  les douleurs persistantes et les séquelles psychologiques du  traumatisme, persistent pendant de nombreuses années après la  blessure initiale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La diminution des capacités physiques  et psychologiques après une blessure est étroitement liée à un risque  accru de comportements à haut risque tels que le tabagisme, la  consommation de drogues, l'abus d'alcool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990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1440S. Meakes et 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982421875" w:line="236.10554695129395" w:lineRule="auto"/>
        <w:ind w:left="0" w:right="165.2581787109375" w:firstLine="6.4599609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alcool, mauvaise alimentation, sédentarité, immunosuppression  prolongée et/ou inflammation. Ces comportements contribuent au  fardeau des blessures en favorisant le développement de maladies  chroniques et en détériorant la qualité de vie liée à la santé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13-17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mesures du fardeau des blessures doivent tenir compte des effets  à long terme des blessures et identifier les facteurs prédictifs  modifiables pour tous les survivants, y compris ceux qui ne répondent  pas au traitement. Les faibles taux de réponse rendent difficile la  comparaison entre les patients qui répondent au traitement et ceux qui  n'y répondent pas en termes de schémas de rétablissement, car on ne  sait pas si ces patients ont un état de santé mauvais, bon ou équivalent  à celui des patients qui participent à l'étude.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6.10547542572021" w:lineRule="auto"/>
        <w:ind w:left="0" w:right="168.148193359375" w:firstLine="229.7399139404297"/>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L'objectif principal de cette étude de cohorte prospective était  d'examiner la qualité de vie liée à la santé des patients gravement  blessés. En outre, nous visons à établir les prédicteurs indépendants  potentiellement modifiables de mauvais résultats et à identifier les  spécificités de la population non répondeuse.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2119140625" w:line="240" w:lineRule="auto"/>
        <w:ind w:left="11.0499572753906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Matériel et méthodes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697265625" w:line="240" w:lineRule="auto"/>
        <w:ind w:left="6.41998291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Conception de l'étude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69482421875" w:line="236.10580444335938" w:lineRule="auto"/>
        <w:ind w:left="2.039947509765625" w:right="168.1512451171875" w:firstLine="1.699981689453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L'étude était une étude de cohorte prospective portant sur des patients  adultes victimes de traumatismes admis dans un centre de  traumatologie de niveau 1 entre janvier 2012 et décembre 2016.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40966796875" w:line="240" w:lineRule="auto"/>
        <w:ind w:left="6.41998291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Cadre de l'étude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700927734375" w:line="236.10554695129395" w:lineRule="auto"/>
        <w:ind w:left="0" w:right="169.1412353515625" w:firstLine="11.049957275390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Situé en dehors de la zone métropolitaine de Sydney, ce centre de  traumatologie majeur de niveau 1 couvre géographiquement une  superficie équivalente à celle de l'Angleterre, estimée à 131 785 km²  </w:t>
      </w:r>
      <w:r w:rsidDel="00000000" w:rsidR="00000000" w:rsidRPr="00000000">
        <w:rPr>
          <w:rFonts w:ascii="Times New Roman" w:cs="Times New Roman" w:eastAsia="Times New Roman" w:hAnsi="Times New Roman"/>
          <w:b w:val="0"/>
          <w:bCs w:val="0"/>
          <w:i w:val="0"/>
          <w:iCs w:val="0"/>
          <w:smallCaps w:val="0"/>
          <w:strike w:val="0"/>
          <w:color w:val="000000"/>
          <w:sz w:val="18.333333333333336"/>
          <w:szCs w:val="18.33333333333333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avec une population résidente d'environ 920 370 personnes. Il s'agit  du centre de traumatologie le plus fréquenté de Nouvelle-Galles du  Sud. Il dessert un district unique qui englobe un grand centre  métropolitain, des communautés régionales et un petit pourcentage de  personnes vivant dans des communautés isolées. Le centre de  traumatologie traite plus de 630 patients adultes gravement blessés  par an, dont l'âge moyen est de 52 ans et l'ISS médian de 21, et a  progressivement atteint un taux de mortalité hospitalière et à 30 jours  de 8 %, ce qui est conforme aux taux enregistrés dans les autres  établissements de l'État et du pays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traumatismes contondants  représentent 93 % des admissions. Les mécanismes de blessure les plus  courants sont les chutes (36 %), suivies des traumatismes routiers (33  %) et de toutes les autres blessures (11 %), qui comprennent les  blessures liées aux animaux et à l'agriculture.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4078369140625" w:line="240" w:lineRule="auto"/>
        <w:ind w:left="6.41998291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Considérations éthiques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6923828125" w:line="236.10580444335938" w:lineRule="auto"/>
        <w:ind w:left="1.3599395751953125" w:right="174.09912109375" w:firstLine="2.379989624023437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L'étude a été approuvée par le comité d'éthique de la recherche  humaine de l'hôpital (approbation 08/02/20/5.02).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087890625" w:line="240" w:lineRule="auto"/>
        <w:ind w:left="134.50012207031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Inscription des participants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70703125" w:line="236.10540390014648" w:lineRule="auto"/>
        <w:ind w:left="122.0001220703125" w:right="39.178466796875" w:firstLine="5.4400634765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Tous les patients admis ont été identifiés lors des visites quotidiennes  de routine par les infirmières cliniciennes consultantes. Cette cohorte  était un échantillon de commodité basé sur le recrutement consécutif  de patients pendant les heures de bureau. Les critères d'inclusion  comprenaient les patients traumatisés âgés de 16 ans ou plus, avec un  score de gravité des blessures (ISS) &gt; 15, et une durée de séjour  prévue supérieure à 24 heures. Les critères d'exclusion comprenaient  les patients âgés de moins de 16 ans, les blessures superficielles ne  nécessitant pas de prise en charge spécifique, la démence ou une  déficience cognitive préexistante importante, ou un traumatisme  crânien grave affectant la capacité à donner son consentement, ou les  patients admis pour des blessures liées à des actes d'automutilation.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6.10554695129395" w:lineRule="auto"/>
        <w:ind w:left="123.3599853515625" w:right="37.138671875" w:firstLine="228.380126953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Lors de leur admission, les patients ont rempli un questionnaire  sur leur état de santé avant la blessure, ainsi que des questionnaires  sur leurs caractéristiques démographiques et leurs blessures. Les  résultats à long terme des patients ont été évalués par courrier 6 et 12  mois après la blessure. Si deux tentatives de prise de contact  échouaient, deux appels téléphoniques de suivi étaient effectués pour  remplir les questionnaires par téléphone. Si le participant ne pouvait  être contacté au bout de 6 mois, il était contacté au bout de 12 mois.  Les participants étaient considérés comme perdus de vue s'ils étaient  injoignables ou s'ils refusaient de participer. L'évaluation finale  incluait tous les survivants d'un traumatisme majeur qui avaient  rempli les questionnaires lors du suivi à 12 mois.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403564453125" w:line="240" w:lineRule="auto"/>
        <w:ind w:left="133.7298583984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Facteurs sociodémographiques de l'étude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806640625" w:line="237.2620725631714" w:lineRule="auto"/>
        <w:ind w:left="122.0001220703125" w:right="33.2275390625" w:firstLine="3.740234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19.6600341796875" w:right="953.56689453125" w:header="0" w:footer="720"/>
          <w:cols w:equalWidth="0" w:num="2">
            <w:col w:space="0" w:w="4980"/>
            <w:col w:space="0" w:w="498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facteurs sociodémographiques suivants ont été recueillis : âge,  sexe, capacité de travail, niveau d'éducation le plus élevé, code postal  du lieu de résidence, nombre de comorbidités et statut indemnisable.  La situation professionnelle actuelle a été demandée à chaque suivi,  avec des variables supplémentaires telles que les tâches  complètes/allégées et le travail à temps plein ou à temps partiel. Le  niveau d'éducation le plus élevé atteint a été classé en deux catégories  : niveau universitaire ou postuniversitaire et niveau secondaire ou  TAFE/apprentissage. Les codes postaux de résidence au moment de  l'accident ont été utilisés pour générer l'indice de désavantage socio économique relatif (IRSD), qui résume les conditions économiques et  sociales d'une zone/d'un code postal particulier. Les niveaux de  désavantage ont été regroupés en quintiles allant de 1 (les plus  défavorisés) à 5 (les moins défavorisés) afin de garantir une  évaluation significative de l'association entre l'IRSD et les résultats en  matière de santé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codes postaux résidentiels ont également  permis de cartographier l'indice d'accessibilité/d'éloignement de  l'Australie (ARIA), qui classe les régions australiennes en cinq  niveaux d'éloignement (grandes villes, régions intérieures, régions  périphériques, régions éloignées et régions très éloignées). Le statut  de comorbidité des participants a été défini à l'aide de l'indice de  comorbidité de Charlson (CCI), cartographié à partir de l'International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599578857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Résultats fonctionnels à long terme dans les cas de polytraumatismes : une approche fondamentalement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4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9930419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nouvelle est nécessaire dans...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029296875" w:line="236.10547542572021" w:lineRule="auto"/>
        <w:ind w:left="3.73992919921875" w:right="171.2078857421875" w:firstLine="2.72003173828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Classification des maladies, 10e révision, modification australienne  (ICD_10_AM) : codes de diagnostic allant de zéro à six, un CCI de  zéro représentant l'absence de condition CCI.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36.10547542572021" w:lineRule="auto"/>
        <w:ind w:left="0" w:right="166.1083984375" w:firstLine="229.90997314453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En Nouvelle-Galles du Sud, l'indemnisation à la suite d'un  accident de la route était disponible en vertu des principes de  responsabilité civile ou de « non-responsabilité », couverts par la  Motor Accident Authority (MAA), un organisme gouvernemental de  réglementation des assurances chargé du régime d'assurance  responsabilité civile (CTP) pour les dommages corporels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  statut de tiers ou « sans faute » donnant droit à une indemnisation  prévoit le paiement des frais médicaux, des frais de rééducation, de la  perte de revenus (passés et futurs) et des services d'aide à long terme,  qui sont versés sous forme de sommes forfaitaires lors du règlement  du sinistre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19-22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6.10547542572021" w:lineRule="auto"/>
        <w:ind w:left="1.3599395751953125" w:right="167.2979736328125" w:firstLine="228.37997436523438"/>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décès après la sortie de l'hôpital ont été recensés à partir des  dossiers médicaux de l'ensemble du district et du registre des  naissances, décès et mariages de Nouvelle-Galles du Sud.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26953125" w:line="240" w:lineRule="auto"/>
        <w:ind w:left="11.72996520996093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Facteurs liés aux blessures étudiés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79443359375" w:line="236.10554695129395" w:lineRule="auto"/>
        <w:ind w:left="0" w:right="167.12890625" w:firstLine="3.739929199218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L'échelle abrégée des blessures (1-6, AIS) est un système de notation  de la gravité des blessures basé sur l'anatomie qui classe les blessures  d'une région particulière du corps sur une échelle de un à six (6 étant  incompatible avec la survie). Le score de gravité des blessures (1-75,  ISS) a été utilisé pour mesurer la gravité des blessures et est calculé à  partir de la somme des carrés des trois scores AIS les plus élevés de  trois régions différentes du corps. Les autres facteurs liés aux  blessures qui ont été recueillis sont le mécanisme de la blessure, le  polytraumatisme (AIS &gt; 2 dans plus de deux régions du corps), le  score initial de Glasgow (GCS) à l'admission, la durée du séjour en  unité de soins intensifs (ICU LOS) et la durée du séjour à l'hôpital  (HLOS), ainsi que la sortie ou le décès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799072265625" w:line="240" w:lineRule="auto"/>
        <w:ind w:left="6.4199829101562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Qualité de vie liée à la santé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10791015625" w:line="240" w:lineRule="auto"/>
        <w:ind w:left="6.45996093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SF36 version 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796875" w:line="237.9565715789795" w:lineRule="auto"/>
        <w:ind w:left="0" w:right="167.1002197265625" w:firstLine="3.739929199218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La QVLS a été évaluée à l'aide du SF36 version 2, un outil validé  pour la recherche sur les résultats chez les patients traumatisés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 SF36 est un outil générique composé de deux scores  principaux, le score de composante physique (PCS) et le score de  composante mentale (MCS), qui utilise 36 questions pour résumer la  santé physique et mentale de l'individu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Au sein des composantes  physique et mentale, il existe quatre sous-domaines. Les sous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3447265625" w:line="236.10554695129395" w:lineRule="auto"/>
        <w:ind w:left="1.699981689453125" w:right="167.2979736328125" w:firstLine="4.2499542236328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domaines du PCS comprennent le fonctionnement physique (PF), qui  évalue la capacité à accomplir des tâches physiques, le rôle physique  (RF), qui évalue les limitations physiques dans les activités  quotidiennes, la douleur physique (BP), qui mesure dans quelle  mesure la douleur interfère avec le travail, et enfin la santé générale  (GH)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36.10554695129395" w:lineRule="auto"/>
        <w:ind w:left="1.699981689453125" w:right="169.0985107421875" w:firstLine="228.03993225097656"/>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sous-domaines du MCS comprennent la vitalité (V), qui  mesure les niveaux d'énergie perçus, le fonctionnement social (SF),  qui détermine dans quelle mesure la santé physique et émotionnelle  influe sur les activités sociales, le rôle émotionnel (RE), qui mesure  les limitations dans l'accomplissement des activités quotidiennes dues  à des problèmes émotionnels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0746746063232" w:lineRule="auto"/>
        <w:ind w:left="122.9998779296875" w:right="41.239013671875" w:firstLine="5.6304931640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et la santé mentale globale (MH)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Chaque réponse se voit  attribuer une valeur prédéfinie sur une échelle de 0 à 100  correspondant à un domaine spécifique. Un logiciel de notation  propriétaire pour la version 2 du SF36 (Quality Metric, Lincoln, États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794921875" w:line="236.10547542572021" w:lineRule="auto"/>
        <w:ind w:left="128.9495849609375" w:right="41.220703125" w:hanging="4.759521484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Unis) a été utilisé et des comparaisons significatives concernant l'état  de santé entre les patients traumatisés et les normes de la population  australienne ont été calculées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normes de la population  australienne calculées pour le PCS et le MCS étaient respectivement  de 50,27 et 52,92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La QVLS a été mesurée à l'admission afin  d'obtenir une indication de l'état de santé des participants à l'étude  avant leur blessure, puis à 6 et 12 mois après leur sortie de l'hôpital.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61962890625" w:line="240" w:lineRule="auto"/>
        <w:ind w:left="126.5698242187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Analyse statistique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796875" w:line="236.10547542572021" w:lineRule="auto"/>
        <w:ind w:left="124.69970703125" w:right="40.218505859375" w:firstLine="2.0404052734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variables quantitatives décrivant les patients et leurs blessures ont  été résumées sous forme de moyenne et d'écart type et/ou de médiane  et d'intervalle interquartile pour les distributions asymétriques. Les  variables catégorielles ont été résumées sous forme de nombre de  fréquences et de pourcentage pour chaque niveau.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8.31205368041992" w:lineRule="auto"/>
        <w:ind w:left="122.9998779296875" w:right="40.150146484375" w:firstLine="229.73999023437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L'algorithme de notation pour le SF36 a été normalisé pour la  population australienne à l'aide de la syntaxe Stata fournie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afin  de calculer les deux échelles composantes et les huit scores de sous domaines. Les scores résumés pour les PCS et MCS normalisés ont  été présentés sous forme de moyenne et d'écart-type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scores  composants n'ont pas pu être calculés pour les patients chez lesquels  un ou plusieurs éléments manquaient.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734375" w:line="236.10551834106445" w:lineRule="auto"/>
        <w:ind w:left="151.329345703125" w:right="38.07861328125" w:firstLine="0"/>
        <w:jc w:val="righ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L'analyse principale consistait à estimer l'évolution des scores  standardisés des composantes et des sous-domaines entre le début de  l'étude et 6 mois, puis entre le début de l'étude et 12 mois. Des  modèles de régression linéaire ont été ajustés dans un cadre  d'équations d'estimation généralisées (GEE) afin d'estimer les  différences moyennes à chaque suivi par rapport au début de l'étude,  en utilisant l'estimateur de variance robuste ajusté pour les mesures  répétées sur les patients. Le sexe et l'âge au début de l'étude ont été  inclus comme covariables afin de réduire les biais de confusion. Des  modèles linéaires mixtes avec une interception aléatoire pour les  patients ont également été ajustés et les estimations des paramètres  étaient similaires. Les résultats du modèle ont été présentés sous  forme de différences moyennes avec des intervalles de confiance à 95  % et des valeurs p issues des GEE. La deuxième analyse visait à  déterminer les prédicteurs des scores des composantes et à déterminer  si certains d'entre eux étaient associés à une évolution dans le temps  (du début de l'étude à 6 mois/12 mois). Des facteurs indépendants  associés aux résultats à long terme des traumatismes, tels que l'âge, le  sexe, l'état de santé avant la blessure, l'ISS, la durée du séjour à  l'hôpital (HLOS), la nature de la blessure, le nombre de comorbidités,  le statut indemnisable et le statut socio-économique, ont été décrits  dans la littérature comme étant associés à la QVLS après une blessure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28-31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associations univariées entre les prédicteurs  potentiels et les scores des échelles composantes ont d'abord été  modélisées, puis un modèle de régression linéaire multivarié incluant  tous les prédicteurs potentiels a été élaboré. Les interactions entre les  prédicteurs potentiels et le temps ont été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080810546875" w:line="240" w:lineRule="auto"/>
        <w:ind w:left="129.63012695312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19.6600341796875" w:right="958.41796875" w:header="0" w:footer="720"/>
          <w:cols w:equalWidth="0" w:num="2">
            <w:col w:space="0" w:w="4980"/>
            <w:col w:space="0" w:w="498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également étudié.</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990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1442S. Meakes et 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982421875" w:line="236.10547542572021" w:lineRule="auto"/>
        <w:ind w:left="1.5099334716796875" w:right="170.2081298828125" w:firstLine="229.22996520996094"/>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La signification statistique a été fixée à 0,05. La manipulation des  données et les analyses statistiques ont été réalisées à l'aide des  logiciels Stata 14 et SAS 9.4 (SAS Institute, Cary, Caroline du Nord,  États-Unis). Aucune méthode d'amputation des données n'a été  utilisée pour les résultats SF36 en cas de données manquantes.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60986328125" w:line="240" w:lineRule="auto"/>
        <w:ind w:left="15.199966430664062"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Résultats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615234375" w:line="236.83648109436035" w:lineRule="auto"/>
        <w:ind w:left="0" w:right="165.087890625" w:firstLine="5.43998718261718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Trois cent six patients traumatisés ont été identifiés comme éligibles,  dont 220 hommes (72 %) et 86 femmes (28 %) ; la figure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montre  les 306 patients recrutés, parmi lesquels 195 ont rempli les  questionnaires de suivi à 12 mois, soit un taux de suivi global de 64  %. Les participants à l'étude présentaient des caractéristiques  similaires à celles de la cohorte totale, sauf en ce qui concerne l'âge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le score GCS initial à l'admission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0,005), l'emploi  avant la blessure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le niveau d'éducation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0,017) et le  nombre de comorbidités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Le tableau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compare les  caractéristiques de base des participants perdus de vue (non répondants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111) et des participants ayant répondu à la collecte de  données à 12 mois de suivi (répondants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195). Il n'y avait pas de  différences significatives entre les répondeurs et les non-répondeurs en  ce qui concerne le sexe, le mécanisme de la blessure, l'ISS, l'AIS, l'ICU  et la durée du séjour à l'hôpital. Cependant, les répondeurs étaient  significativement plus âgés (âge médian de 35 ans contre 52 ans),  présentaient un nombre plus élevé de comorbidités, mais étaient  moins susceptibles d'avoir un GCS initial faible à l'admission et plus  susceptibles d'être à la retraite que les non-répondeurs.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369140625" w:line="237.83071517944336" w:lineRule="auto"/>
        <w:ind w:left="0" w:right="165.0885009765625" w:firstLine="230.22994995117188"/>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Pour les 195 participants étudiés, l'âge moyen (écart-type) était de 52 (17), avec des proportions à peu près égales dans chacune des  tranches d'âge : 17-30 ans, 31-45 ans, 46-60 ans et 61-73 ans, et 10  patients âgés de plus de 74 ans. L'ISS médian était de 21 et le  mécanisme de blessure le plus courant était les accidents de la route  impliquant des véhicules motorisés (36 %) et des motos (25 %),  suivis par les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870849609375" w:line="240" w:lineRule="auto"/>
        <w:ind w:left="11.38992309570312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Fig. 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Sélection des patients.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9965820312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Organigramme montrant 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96276855468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patients suivis et le taux de réponse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99597167968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au départ, à 6 mois et à 12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978027343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mois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05375289917" w:lineRule="auto"/>
        <w:ind w:left="109.420166015625" w:right="39.17724609375" w:firstLine="18.02001953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chutes (19 %) et les piétons renversés par des véhicules (8 %). La  durée du séjour en soins intensifs variait de 0 à 37 jours, avec une  moyenne de 5,6 jours et une médiane de 3 jours. La durée totale du  séjour à l'hôpital variait de 1 à 143 jours, avec une moyenne de 27,2  jours et une médiane de 20 jours. La plupart des patients ont été  renvoyés chez eux avec des rendez-vous de suivi chez un spécialiste  (57 %), dans des centres de rééducation (33 %), ou transférés vers des  soins intensifs (12 %) ou un hôpital de district (7 %).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6.92819118499756" w:lineRule="auto"/>
        <w:ind w:left="122.0001220703125" w:right="39.17724609375" w:firstLine="229.229736328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Presque tous les patients (98 %) de cette cohorte étaient de langue  anglaise et plus de la moitié de l'échantillon n'avait pas de diplôme  d'études supérieures, seuls 17 % ayant un diplôme universitaire et 29 %  une formation professionnelle comme diplôme le plus élevé. Avant  leur accident, plus de 60 % des participants à l'étude occupaient un  emploi à temps plein ou à temps partiel, le taux de chômage étant  plus élevé dans le groupe des non-répondants que dans celui des  répondants (16 % contre 4 %). Trente et un pour cent des répondeurs  étaient à la retraite, contre seulement 11 % dans le groupe des non répondeurs. Les taux de retour au travail (RTW) étaient  respectivement de 38 % et 42 % à 6 et 12 mois, seuls 39 % reprenant  leurs fonctions normales à 12 mois et 33 % travaillant à temps partiel.  La proportion de patients ayant indiqué un rétablissement complet a  augmenté progressivement entre 6 et 12 mois après la blessure,  passant de 36 % à 45 %. Les facteurs les plus courants entravant le  rétablissement étaient la douleur (62 %), la perte de fonction (71 %)  et les inconvénients (62 %).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6.10554695129395" w:lineRule="auto"/>
        <w:ind w:left="122.0001220703125" w:right="36.21826171875" w:firstLine="229.739990234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résultats relatifs à l'état de santé ont été mesurés à l'aide du  questionnaire SF36 v2 à l'admission, puis lors des suivis à 6 et 12  mois. Les scores normalisés par rapport à la population générale  australienne sont résumés dans le tableau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scores de santé de  référence avant la blessure, mesurés à l'admission, ont donné des  valeurs moyennes de 53,1 et 51,7 respectivement pour l'échelle de  composante physique (PCS) et l'échelle de composante mentale  (MCS) (tableau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scores PCS de référence avant la blessure  dans cette cohorte étaient significativement plus élevés que ceux de la  population générale australienne, avec des scores de 53,1 contre 50,3,  soit une différence moyenne de 2,85 (IC à 95 % : 1,86, 3,84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20556640625" w:line="240" w:lineRule="auto"/>
        <w:ind w:left="0" w:right="0" w:firstLine="0"/>
        <w:jc w:val="righ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drawing>
          <wp:inline distB="19050" distT="19050" distL="19050" distR="19050">
            <wp:extent cx="4570463" cy="234694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0463" cy="234694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Résultats fonctionnels à long terme dans les cas de polytraumatismes : une approche fondamentalement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nouvelle est nécessaire dans...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996093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Tableau 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Caractéristiques cliniques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990234375" w:line="265.3890037536621"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subscript"/>
          <w:rtl w:val="0"/>
        </w:rPr>
        <w:t xml:space="preserve">et démographiques des participants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Caractéristiques des patients Répondeurs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195) Non-répondeurs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111)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39208984375"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sectPr>
          <w:type w:val="continuous"/>
          <w:pgSz w:h="15820" w:w="11900" w:orient="portrait"/>
          <w:pgMar w:bottom="1320.5398559570312" w:top="368.699951171875" w:left="1018.6600494384766" w:right="957.55859375" w:header="0" w:footer="720"/>
          <w:cols w:equalWidth="0" w:num="2">
            <w:col w:space="0" w:w="4980"/>
            <w:col w:space="0" w:w="498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Valeur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04296875" w:line="276.6671848297119" w:lineRule="auto"/>
        <w:ind w:left="2577.3898315429688" w:right="239.01611328125" w:hanging="1.19995117187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Âge (années), médiane (IQR) 52 (37, 64) 35 (25, 47)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0,001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Catégorie d'âge,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0,001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Moins de 18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ans 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 (0,5 %) 4 (2,8 %) 18-29 39 (20 %) 39 (36 %) 30 31 (16 %) 36 (32 %) 45-59 52 (27 %) 21 (20 %) 60 64 (33 %) 7 (6 %) 7</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10 (5 %) 4 (4 %) Sexe — masculin,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144 (74 %) 76 (68 %) 0,2623 Score de gravité des blessures (ISS), médiane (IQR) 21 (17, 29) 22 (17, 29) 0,970 Groupe de blessures AIS &gt; 2,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9208984375" w:line="276.1857032775879" w:lineRule="auto"/>
        <w:ind w:left="2577.3898315429688" w:right="393.37158203125" w:firstLine="3.3001708984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Tête/cou 99 (51 %) 68 (61 %) 0,092 Poitrine 122 (63 %) 73 (65 %) 0,647 Abdomen/bassin 99 (51 %) 47 (42 %) 0,137 Extrémités 158 (81 %) 92 (82 %) 0,809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044921875" w:line="222.1333408355713" w:lineRule="auto"/>
        <w:ind w:left="123.39996337890625" w:right="407.449951171875" w:hanging="123.399963378906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Polytraumatisme AIS &gt; 2 dans plus de deux régions  du corps,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3580.2099609375" w:right="1201.0498046875" w:header="0" w:footer="720"/>
          <w:cols w:equalWidth="0" w:num="2">
            <w:col w:space="0" w:w="3560"/>
            <w:col w:space="0" w:w="356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169 (86 %) 95 (85 %) 0,654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7958984375" w:line="276.5212154388428" w:lineRule="auto"/>
        <w:ind w:left="2574.3899536132812" w:right="239.01611328125" w:firstLine="7.049865722656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GCS initial aux urgences,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0,005 TCC léger ou absent (GCS 13-15) 165 (85 %) 78 (70 %) TCC modéré (GCS 9-12) 10 (5 %) 8 (7 %) TCC grave (GCS 3-8) 20 (10 %) 26 (23 %) Gravité du traumatisme crânien,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0,647 AIS crânien 1-2 60 (31 %) 43 (38 %) AIS crânien &gt; 3 42 (22 %) 26 (23 %) Mécanisme de la blessure,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0,558 Chute 38 (19 %) 16 (14 %) Cycliste 3 (1,9 %) 1 (8 %) Accident de moto (MBA) 48 (25 %) 34 (30 %) Accident de la route (MVA) 71 (36 %) 45 (40 %) Piéton 16 (8 %) 5 (4 %) Autre 18 (11 %) 10 (10 %) Statut d'assurance,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0,152 Indemnisation possible 69 (33 %) 30 (27 %) Non indemnisable 130 (67 %) 81 (73 %) Medicare 66 (51 %) 65 (79 %) Privé 64 (49 %) 17 (21 %) Durée moyenne d'hospitalisation (IQR) 20 (10, 39) 17 (10, 36) 0,234 Durée du séjour en soins intensifs, médiane (IQR) 0 (0, 4) 2 (0, 4) 0,475 Indice de comorbidité de Charlson, médiane (IQR) 1 (0, 3) 0 (0, 1)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0,001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Aucun 82 (42 %) 83 (74 %) 1 31 (16 %) 13 (12 %) 2 </w:t>
      </w:r>
      <w:r w:rsidDel="00000000" w:rsidR="00000000" w:rsidRPr="00000000">
        <w:rPr>
          <w:rFonts w:ascii="Times New Roman" w:cs="Times New Roman" w:eastAsia="Times New Roman" w:hAnsi="Times New Roman"/>
          <w:b w:val="0"/>
          <w:bCs w:val="0"/>
          <w:i w:val="0"/>
          <w:iCs w:val="0"/>
          <w:smallCaps w:val="0"/>
          <w:strike w:val="0"/>
          <w:color w:val="000000"/>
          <w:sz w:val="16.085708618164062"/>
          <w:szCs w:val="16.08570861816406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81 (42 %) 15 (14 %) Travaillait avant la blessure,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0,001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Actif 118 (60 %) 70 (63 %) Sans emploi 8 (4 %) 18 (16 %) Retraité/à la maison 60 (31 %) 12 (11 %) Étudiant/autre 8 (4 %) 11 (9 %) Niveau d'éducation,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0,017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&lt; 10 ans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72 (37 %) 42 (38 %) 11e-12e année 36 (18 %) 32 (29 %)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990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1444S. Meakes et 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3515396118164"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superscript"/>
          <w:rtl w:val="0"/>
        </w:rPr>
        <w:t xml:space="preserve">Tableau 1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superscript"/>
          <w:rtl w:val="0"/>
        </w:rPr>
        <w:t xml:space="preserve">(suite)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Caractéristiques des patients Répondeurs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195) Non-répondeurs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111)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78320312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TAFE/apprentissage 56 (29 %) 30 (27 %)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sectPr>
          <w:type w:val="continuous"/>
          <w:pgSz w:h="15820" w:w="11900" w:orient="portrait"/>
          <w:pgMar w:bottom="1320.5398559570312" w:top="368.699951171875" w:left="1021.3500213623047" w:right="1052.750244140625" w:header="0" w:footer="720"/>
          <w:cols w:equalWidth="0" w:num="2">
            <w:col w:space="0" w:w="4920"/>
            <w:col w:space="0" w:w="492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Valeur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4091796875" w:line="252.65496253967285"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Études universitaires/postuniversitaires Disposition à la sortie,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33 (17 %) 7 (6 %)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99218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3579.5501708984375" w:right="1201.710205078125" w:header="0" w:footer="720"/>
          <w:cols w:equalWidth="0" w:num="2">
            <w:col w:space="0" w:w="3560"/>
            <w:col w:space="0" w:w="356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0,618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0693359375" w:line="276.55574798583984" w:lineRule="auto"/>
        <w:ind w:left="2578.0801391601562" w:right="394.031982421875"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Domicile 111 (57 %) 73 (64 %) Rééducation 65 (33 %) 26 (23 %) Soins intensifs 12 (6 %) 4 (4 %) Hôpital régional 7 (4 %) 8 (7 %) Mortalité — décès,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14 (7 %) 6 (5 %) 0,245 SF-36 de référence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681640625" w:line="208.2716989517212" w:lineRule="auto"/>
        <w:ind w:left="0" w:right="516.9500732421875" w:firstLine="3.300170898437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Score de la composante mentale (MCS), moyenne  (écart-type)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716989517212" w:lineRule="auto"/>
        <w:ind w:left="0" w:right="500.1495361328125" w:firstLine="3.3001708984375"/>
        <w:jc w:val="left"/>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Score de la composante physique (PCS), moyenne  (écart-type)</w:t>
      </w:r>
      <w:r w:rsidDel="00000000" w:rsidR="00000000" w:rsidRPr="00000000">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744438171387" w:lineRule="auto"/>
        <w:ind w:left="0" w:right="4.859619140625"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3583.1500244140625" w:right="1201.710205078125" w:header="0" w:footer="720"/>
          <w:cols w:equalWidth="0" w:num="2">
            <w:col w:space="0" w:w="3560"/>
            <w:col w:space="0" w:w="356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52,4 (10,9) 50,9 (11,3) 0,242 52,3 (9,4) 54,1 (8,1) 0,077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18505859375" w:line="205.09552001953125" w:lineRule="auto"/>
        <w:ind w:left="2571.0299682617188" w:right="162.923583984375" w:firstLine="1.49993896484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Les données continues sont présentées sous forme de médianes avec intervalle interquartile (IQR) ou de moyennes avec  écart-type (ET). Les valeurs p pour les variables continues proviennent des tests de Wilcoxon-Mann-Whitney ou des tests  t. Les données catégorielles sont présentées sous forme de fréquences et de pourcentages. Les valeurs p pour les variables  catégorielles proviennent des tests du chi carré.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977783203125" w:line="236.10554695129395" w:lineRule="auto"/>
        <w:ind w:left="18.19000244140625" w:right="229.95849609375" w:hanging="18.19000244140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Pour le PCS, les scores des sous-domaines  fonctionnement physique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0,024), rôle physique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0,011),  douleur physique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et santé générale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étaient  significativement plus élevés avant la blessure que ceux de la  population générale australienne. Cependant, les scores MCS de  référence avant la blessure étaient légèrement inférieurs à ceux de la  population générale australienne, avec des scores MCS de référence  avant la blessure de 51,7 contre 52,9, soit une différence moyenne de  -1,18 (IC à 95 % : -2,42, 0,08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0,065). Pour le MCS, les scores  des sous-domaines vitalité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et rôle émotionnel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0,047)  étaient significativement plus élevés avant la blessure que ceux de la  population générale australienne.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36.1055612564087" w:lineRule="auto"/>
        <w:ind w:left="18.699951171875" w:right="229.95849609375" w:firstLine="227.1900177001953"/>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Au bout de 6 mois de suivi, les participants ont affiché des scores  PCS moyens nettement inférieurs à ceux de la population générale  australienne. Les scores PCS moyens ont été rapportés à 36,9, avec  une différence moyenne par rapport à la valeur de référence de 16,2  (IC à 95 % : 17,8, 14,6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Le MCS à 6 mois de suivi a  montré des résultats légèrement améliorés, avec un score moyen global  de santé mentale de 44,3 et une différence moyenne par rapport à la  valeur de référence de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634765625" w:line="236.10547542572021" w:lineRule="auto"/>
        <w:ind w:left="24.30999755859375" w:right="231.99951171875" w:firstLine="0.509948730468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7,5 (IC à 95 % : 9,7, 5,2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Tous les scores moyens des 8  sous-domaines du SF36 étaient significativement plus faibles que  ceux de la population générale australienne.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58935546875" w:line="236.10554695129395" w:lineRule="auto"/>
        <w:ind w:left="18.19000244140625" w:right="229.957275390625" w:firstLine="229.22996520996094"/>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Par la suite, lors du suivi à 12 mois, les scores PCS moyens sont  restés significativement inférieurs aux scores de référence avant la  blessure, avec un PCS moyen de 39,9 et une différence moyenne par  rapport à la référence de 13,2 (IC à 95 % : 14,8, 11,6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ce  qui ne montre qu'une légère amélioration des scores par rapport à 6  mois. Le MCS a montré une légère différence dans la santé mentale  globale par rapport à la valeur de référence avant la blessure, avec un  score MCS moyen de 45,8 et une différence moyenne par rapport à la  valeur de référence de 6,0 (IC à 95 % : 8,1, 3,8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Le MCS  a montré la diminution moyenne la plus faible par rapport à la valeur  de référence par rapport au PCS à 12 mois. Les participants à l'étude  ont continué à obtenir des scores moyens significativement plus  faibles dans les 8 sous-domaines, le rôle physique (RF) affichant la  plus forte diminution moyenne à 12 mois (Fig.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avec une différence  moyenne de 14,2 (95 %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1983814239502" w:lineRule="auto"/>
        <w:ind w:left="64.7802734375" w:right="19.149169921875" w:hanging="2.55004882812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IC 16,0, 12,4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suivi du fonctionnement physique 13,0 (IC à 95 % : 14,9, 11,2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la douleur physique 11,0 (IC à  95 %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47607421875" w:line="236.10561847686768" w:lineRule="auto"/>
        <w:ind w:left="60.1904296875" w:right="182.008056640625" w:firstLine="3.590087890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IC 12,8, 9,3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et le fonctionnement social 7,9 (IC à 95 %  9,8, 6,0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Malgré l'amélioration des scores des deux  composantes de la QVLS, 78 % et 82 % des patients, respectivement,  présentaient des scores moyens PCS et MCS bien inférieurs à ceux de  la population générale australienne 12 mois après la blessure (tableau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36.10551834106445" w:lineRule="auto"/>
        <w:ind w:left="60.1904296875" w:right="179.969482421875" w:firstLine="227.699584960937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Âge avancé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emploi avant la blessure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0,006),  nombre de comorbidités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ISS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0,010),  polytraumatisme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0,083), HLOS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soins intensifs L'admission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0,022) et le statut indemnisable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étaient  significativement associés à une fonction physique réduite dans les  analyses univariées (tableau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Dans l'analyse multivariée, la durée  d'hospitalisation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0,016), le nombre de comorbidités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0,005)  et le statut indemnisable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étaient associés à une fonction  physique plus faible. De même, pour le MCS, dans les analyses  univariées, la durée du séjour à l'hôpital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l'admission en  soins intensifs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0,057), le polytraumatisme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0,057), un faible  score GCS à l'admission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0,015) et le statut indemnisable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0,119) étaient associés à un fonctionnement MCS plus faible.  Cependant, dans l'analyse multivariée, seule la durée d'hospitalisation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0,0003) était associée à un fonctionnement mental plus faible.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37.03110218048096" w:lineRule="auto"/>
        <w:ind w:left="61.1907958984375" w:right="176.927490234375" w:firstLine="229.229736328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01.4700317382812" w:right="797.679443359375" w:header="0" w:footer="720"/>
          <w:cols w:equalWidth="0" w:num="2">
            <w:col w:space="0" w:w="5060"/>
            <w:col w:space="0" w:w="506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Pour le résultat PCS, il y avait des interactions négatives  significatives avec le temps à 12 mois par rapport à la valeur de  référence pour l'ISS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0,002), la durée du séjour à l'hôpital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l'admission en soins intensifs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0,004), polytraumatisme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0,019) et statut indemnisable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indiquant que les patients  gravement blessés avec plus de deux régions du corps touchées, ou  ayant eu une durée d'hospitalisation prolongée, avec un statut  indemnisable, ont connu une plus forte diminution de leurs capacités  physiques au fil du temps. Pour le résultat MCS, il y avait une  interaction négative significative avec le temps à 12 mois par rapport  à la valeur de référence pour la durée du séjour à l'hôpital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le faible score GCS initial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0,001) et le statut indemnisable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ce qui indique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599578857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Résultats fonctionnels à long terme dans les cas de polytraumatismes : une approche fondamentalement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4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1445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9930419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nouvelle est nécessaire dans...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9248046875" w:line="214.3592119216919"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Tableau 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Changement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dans 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941299438476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fonctionnement  physique et</w:t>
      </w:r>
      <w:r w:rsidDel="00000000" w:rsidR="00000000" w:rsidRPr="00000000">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9548892974854"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fonctionnement  mental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28.3500671386719" w:right="6000.400390625" w:header="0" w:footer="720"/>
          <w:cols w:equalWidth="0" w:num="4">
            <w:col w:space="0" w:w="1220"/>
            <w:col w:space="0" w:w="1220"/>
            <w:col w:space="0" w:w="1220"/>
            <w:col w:space="0" w:w="122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au fil du temps 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00927734375" w:line="233.81757259368896"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Résultat Australien Moyenne de  référence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sectPr>
          <w:type w:val="continuous"/>
          <w:pgSz w:h="15820" w:w="11900" w:orient="portrait"/>
          <w:pgMar w:bottom="1320.5398559570312" w:top="368.699951171875" w:left="1029.2100524902344" w:right="1088.770751953125" w:header="0" w:footer="720"/>
          <w:cols w:equalWidth="0" w:num="2">
            <w:col w:space="0" w:w="4900"/>
            <w:col w:space="0" w:w="4900"/>
          </w:cols>
        </w:sect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Moyenne à 6 mois Moyenne à 12 mois Différence Valeur </w:t>
      </w:r>
      <w:r w:rsidDel="00000000" w:rsidR="00000000" w:rsidRPr="00000000">
        <w:rPr>
          <w:rFonts w:ascii="Times New Roman" w:cs="Times New Roman" w:eastAsia="Times New Roman" w:hAnsi="Times New Roman"/>
          <w:b w:val="0"/>
          <w:bCs w:val="0"/>
          <w:i w:val="1"/>
          <w:iCs w:val="1"/>
          <w:smallCaps w:val="0"/>
          <w:strike w:val="0"/>
          <w:color w:val="000000"/>
          <w:sz w:val="13"/>
          <w:szCs w:val="13"/>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Différence Valeur </w:t>
      </w:r>
      <w:r w:rsidDel="00000000" w:rsidR="00000000" w:rsidRPr="00000000">
        <w:rPr>
          <w:rFonts w:ascii="Times New Roman" w:cs="Times New Roman" w:eastAsia="Times New Roman" w:hAnsi="Times New Roman"/>
          <w:b w:val="0"/>
          <w:bCs w:val="0"/>
          <w:i w:val="1"/>
          <w:iCs w:val="1"/>
          <w:smallCaps w:val="0"/>
          <w:strike w:val="0"/>
          <w:color w:val="000000"/>
          <w:sz w:val="13"/>
          <w:szCs w:val="13"/>
          <w:u w:val="none"/>
          <w:shd w:fill="auto" w:val="clear"/>
          <w:vertAlign w:val="baseline"/>
          <w:rtl w:val="0"/>
        </w:rPr>
        <w:t xml:space="preserve">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974609375" w:line="202.1407985687256" w:lineRule="auto"/>
        <w:ind w:left="1259.8600769042969" w:right="939.6722412109375" w:hanging="4.550018310546875"/>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norm* Moyenne (SD) (SD) (SD) 6 mois — référence 12 mois — référence (SD) Moyenne (IC à 95 %) Moyenne (IC à 95 %)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642578125" w:line="202.69599437713623" w:lineRule="auto"/>
        <w:ind w:left="150.8599853515625" w:right="279.6923828125" w:hanging="120.64994812011719"/>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Composition physique 50,3 (9,7) 53,1 (8,8) 36,9 (10,7) 39,9 (11,4) </w:t>
      </w:r>
      <w:r w:rsidDel="00000000" w:rsidR="00000000" w:rsidRPr="00000000">
        <w:rPr>
          <w:rFonts w:ascii="Times New Roman" w:cs="Times New Roman" w:eastAsia="Times New Roman" w:hAnsi="Times New Roman"/>
          <w:b w:val="0"/>
          <w:bCs w:val="0"/>
          <w:i w:val="0"/>
          <w:iCs w:val="0"/>
          <w:smallCaps w:val="0"/>
          <w:strike w:val="0"/>
          <w:color w:val="000000"/>
          <w:sz w:val="13.634514808654785"/>
          <w:szCs w:val="13.634514808654785"/>
          <w:u w:val="none"/>
          <w:shd w:fill="auto" w:val="clear"/>
          <w:vertAlign w:val="baseline"/>
          <w:rtl w:val="0"/>
        </w:rPr>
        <w:t xml:space="preserve">– 16,2 &lt; 0,001 – 13,2 &lt; 0,001 </w:t>
      </w:r>
      <w:r w:rsidDel="00000000" w:rsidR="00000000" w:rsidRPr="00000000">
        <w:rPr>
          <w:rFonts w:ascii="Gungsuh" w:cs="Gungsuh" w:eastAsia="Gungsuh" w:hAnsi="Gungsuh"/>
          <w:b w:val="0"/>
          <w:bCs w:val="0"/>
          <w:i w:val="0"/>
          <w:iCs w:val="0"/>
          <w:smallCaps w:val="0"/>
          <w:strike w:val="0"/>
          <w:color w:val="000000"/>
          <w:sz w:val="13"/>
          <w:szCs w:val="13"/>
          <w:u w:val="none"/>
          <w:shd w:fill="auto" w:val="clear"/>
          <w:vertAlign w:val="baseline"/>
          <w:rtl w:val="0"/>
        </w:rPr>
        <w:t xml:space="preserve">score du composant (− 17,8, − 4,6) (− 14,8, − 11,6) (PCS)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7724609375" w:line="240" w:lineRule="auto"/>
        <w:ind w:left="27.740020751953125"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Proportion inférieure à 46 (29 %) 136 (85 %) 125 (78 %)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7003173828125"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Norme AUS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7000427246094"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pour le PCS, </w:t>
      </w:r>
      <w:r w:rsidDel="00000000" w:rsidR="00000000" w:rsidRPr="00000000">
        <w:rPr>
          <w:rFonts w:ascii="Times New Roman" w:cs="Times New Roman" w:eastAsia="Times New Roman" w:hAnsi="Times New Roman"/>
          <w:b w:val="0"/>
          <w:bCs w:val="0"/>
          <w:i w:val="1"/>
          <w:iCs w:val="1"/>
          <w:smallCaps w:val="0"/>
          <w:strike w:val="0"/>
          <w:color w:val="000000"/>
          <w:sz w:val="13"/>
          <w:szCs w:val="13"/>
          <w:u w:val="none"/>
          <w:shd w:fill="auto" w:val="clear"/>
          <w:vertAlign w:val="baseline"/>
          <w:rtl w:val="0"/>
        </w:rPr>
        <w:t xml:space="preserv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599853515625"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970495223999"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Complications  mentales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Score du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composant  (MCS)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634514808654785"/>
          <w:szCs w:val="13.634514808654785"/>
          <w:u w:val="none"/>
          <w:shd w:fill="auto" w:val="clear"/>
          <w:vertAlign w:val="baseline"/>
        </w:rPr>
        <w:sectPr>
          <w:type w:val="continuous"/>
          <w:pgSz w:h="15820" w:w="11900" w:orient="portrait"/>
          <w:pgMar w:bottom="1320.5398559570312" w:top="368.699951171875" w:left="1028.0400085449219" w:right="1086.36962890625" w:header="0" w:footer="720"/>
          <w:cols w:equalWidth="0" w:num="2">
            <w:col w:space="0" w:w="4900"/>
            <w:col w:space="0" w:w="4900"/>
          </w:cols>
        </w:sect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52,9 (10,2) 51,7 (11,1) 44,3 (15,2) 45,8 (14,6) </w:t>
      </w:r>
      <w:r w:rsidDel="00000000" w:rsidR="00000000" w:rsidRPr="00000000">
        <w:rPr>
          <w:rFonts w:ascii="Gungsuh" w:cs="Gungsuh" w:eastAsia="Gungsuh" w:hAnsi="Gungsuh"/>
          <w:b w:val="0"/>
          <w:bCs w:val="0"/>
          <w:i w:val="0"/>
          <w:iCs w:val="0"/>
          <w:smallCaps w:val="0"/>
          <w:strike w:val="0"/>
          <w:color w:val="000000"/>
          <w:sz w:val="13.634514808654785"/>
          <w:szCs w:val="13.634514808654785"/>
          <w:u w:val="none"/>
          <w:shd w:fill="auto" w:val="clear"/>
          <w:vertAlign w:val="baseline"/>
          <w:rtl w:val="0"/>
        </w:rPr>
        <w:t xml:space="preserve">– 7,5 (− 9,7, − 5,2) &lt; 0,001 – 6,0 (− 8,1, − 3,8) &lt; 0,001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40185546875" w:line="240" w:lineRule="auto"/>
        <w:ind w:left="28.740005493164062"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Proportion inférieure à 57 (35 %) 144 (89 %) 134 (83 %)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700164794922"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Norme AUS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998901367188"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pour le MCS, </w:t>
      </w:r>
      <w:r w:rsidDel="00000000" w:rsidR="00000000" w:rsidRPr="00000000">
        <w:rPr>
          <w:rFonts w:ascii="Times New Roman" w:cs="Times New Roman" w:eastAsia="Times New Roman" w:hAnsi="Times New Roman"/>
          <w:b w:val="0"/>
          <w:bCs w:val="0"/>
          <w:i w:val="1"/>
          <w:iCs w:val="1"/>
          <w:smallCaps w:val="0"/>
          <w:strike w:val="0"/>
          <w:color w:val="000000"/>
          <w:sz w:val="13"/>
          <w:szCs w:val="13"/>
          <w:u w:val="none"/>
          <w:shd w:fill="auto" w:val="clear"/>
          <w:vertAlign w:val="baseline"/>
          <w:rtl w:val="0"/>
        </w:rPr>
        <w:t xml:space="preserve">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85997009277344"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40005493164062"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Domaines physiques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01513671875" w:line="221.76296710968018" w:lineRule="auto"/>
        <w:ind w:left="28.610000610351562" w:right="278.69140625" w:hanging="0.52001953125"/>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Fonction physique 50,6 (9,2) 51,9 (10,0) 35,5 (12,7) 38,8 (12,6) </w:t>
      </w:r>
      <w:r w:rsidDel="00000000" w:rsidR="00000000" w:rsidRPr="00000000">
        <w:rPr>
          <w:rFonts w:ascii="Times New Roman" w:cs="Times New Roman" w:eastAsia="Times New Roman" w:hAnsi="Times New Roman"/>
          <w:b w:val="0"/>
          <w:bCs w:val="0"/>
          <w:i w:val="0"/>
          <w:iCs w:val="0"/>
          <w:smallCaps w:val="0"/>
          <w:strike w:val="0"/>
          <w:color w:val="000000"/>
          <w:sz w:val="13.634514808654785"/>
          <w:szCs w:val="13.634514808654785"/>
          <w:u w:val="none"/>
          <w:shd w:fill="auto" w:val="clear"/>
          <w:vertAlign w:val="baseline"/>
          <w:rtl w:val="0"/>
        </w:rPr>
        <w:t xml:space="preserve">– 16,4 &lt; 0,001 – 13,0 &lt; 0,001 </w:t>
      </w:r>
      <w:r w:rsidDel="00000000" w:rsidR="00000000" w:rsidRPr="00000000">
        <w:rPr>
          <w:rFonts w:ascii="Gungsuh" w:cs="Gungsuh" w:eastAsia="Gungsuh" w:hAnsi="Gungsuh"/>
          <w:b w:val="0"/>
          <w:bCs w:val="0"/>
          <w:i w:val="0"/>
          <w:iCs w:val="0"/>
          <w:smallCaps w:val="0"/>
          <w:strike w:val="0"/>
          <w:color w:val="000000"/>
          <w:sz w:val="13"/>
          <w:szCs w:val="13"/>
          <w:u w:val="none"/>
          <w:shd w:fill="auto" w:val="clear"/>
          <w:vertAlign w:val="baseline"/>
          <w:rtl w:val="0"/>
        </w:rPr>
        <w:t xml:space="preserve">ing (PF) (− 18,3, − 14,5) (− 14,9, − 11,2) Limitation du rôle – 50,7 (9,8) 52,1 (9,3) 33,5 (12,8) 37,9 (12,8) </w:t>
      </w:r>
      <w:r w:rsidDel="00000000" w:rsidR="00000000" w:rsidRPr="00000000">
        <w:rPr>
          <w:rFonts w:ascii="Times New Roman" w:cs="Times New Roman" w:eastAsia="Times New Roman" w:hAnsi="Times New Roman"/>
          <w:b w:val="0"/>
          <w:bCs w:val="0"/>
          <w:i w:val="0"/>
          <w:iCs w:val="0"/>
          <w:smallCaps w:val="0"/>
          <w:strike w:val="0"/>
          <w:color w:val="000000"/>
          <w:sz w:val="13.634514808654785"/>
          <w:szCs w:val="13.634514808654785"/>
          <w:u w:val="none"/>
          <w:shd w:fill="auto" w:val="clear"/>
          <w:vertAlign w:val="baseline"/>
          <w:rtl w:val="0"/>
        </w:rPr>
        <w:t xml:space="preserve">– 18,6 &lt; 0,001 – 14,2 &lt; 0,001 </w:t>
      </w:r>
      <w:r w:rsidDel="00000000" w:rsidR="00000000" w:rsidRPr="00000000">
        <w:rPr>
          <w:rFonts w:ascii="Gungsuh" w:cs="Gungsuh" w:eastAsia="Gungsuh" w:hAnsi="Gungsuh"/>
          <w:b w:val="0"/>
          <w:bCs w:val="0"/>
          <w:i w:val="0"/>
          <w:iCs w:val="0"/>
          <w:smallCaps w:val="0"/>
          <w:strike w:val="0"/>
          <w:color w:val="000000"/>
          <w:sz w:val="13"/>
          <w:szCs w:val="13"/>
          <w:u w:val="none"/>
          <w:shd w:fill="auto" w:val="clear"/>
          <w:vertAlign w:val="baseline"/>
          <w:rtl w:val="0"/>
        </w:rPr>
        <w:t xml:space="preserve">physique (RP) (− 20,5, − 16,7) (− 16,0, − 12,4)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71875" w:line="212.1377420425415"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Douleur physique  (BP)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9629535675049"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continuous"/>
          <w:pgSz w:h="15820" w:w="11900" w:orient="portrait"/>
          <w:pgMar w:bottom="1320.5398559570312" w:top="368.699951171875" w:left="1030.2100372314453" w:right="1086.370849609375" w:header="0" w:footer="720"/>
          <w:cols w:equalWidth="0" w:num="2">
            <w:col w:space="0" w:w="4900"/>
            <w:col w:space="0" w:w="4900"/>
          </w:cols>
        </w:sect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52,2 (9,0) 54,4 (10,1) 40,6 (10,8) 43,3 (11,2) </w:t>
      </w:r>
      <w:r w:rsidDel="00000000" w:rsidR="00000000" w:rsidRPr="00000000">
        <w:rPr>
          <w:rFonts w:ascii="Times New Roman" w:cs="Times New Roman" w:eastAsia="Times New Roman" w:hAnsi="Times New Roman"/>
          <w:b w:val="0"/>
          <w:bCs w:val="0"/>
          <w:i w:val="0"/>
          <w:iCs w:val="0"/>
          <w:smallCaps w:val="0"/>
          <w:strike w:val="0"/>
          <w:color w:val="000000"/>
          <w:sz w:val="13.634514808654785"/>
          <w:szCs w:val="13.634514808654785"/>
          <w:u w:val="none"/>
          <w:shd w:fill="auto" w:val="clear"/>
          <w:vertAlign w:val="baseline"/>
          <w:rtl w:val="0"/>
        </w:rPr>
        <w:t xml:space="preserve">– 13,8 &lt; 0,001 – 11,0, &lt; 0,001 </w:t>
      </w:r>
      <w:r w:rsidDel="00000000" w:rsidR="00000000" w:rsidRPr="00000000">
        <w:rPr>
          <w:rFonts w:ascii="Gungsuh" w:cs="Gungsuh" w:eastAsia="Gungsuh" w:hAnsi="Gungsuh"/>
          <w:b w:val="0"/>
          <w:bCs w:val="0"/>
          <w:i w:val="0"/>
          <w:iCs w:val="0"/>
          <w:smallCaps w:val="0"/>
          <w:strike w:val="0"/>
          <w:color w:val="000000"/>
          <w:sz w:val="13"/>
          <w:szCs w:val="13"/>
          <w:u w:val="none"/>
          <w:shd w:fill="auto" w:val="clear"/>
          <w:vertAlign w:val="baseline"/>
          <w:rtl w:val="0"/>
        </w:rPr>
        <w:t xml:space="preserve">(− 15,4, − 12,1) (− 12,8, − 9,3)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7264575958252" w:lineRule="auto"/>
        <w:ind w:left="151.85997009277344" w:right="440.732421875" w:hanging="117.13996887207031"/>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Santé générale 50,5 (10,4) 52,7 (8,6) 44,0 (10,7) 44,2 (11,2) </w:t>
      </w:r>
      <w:r w:rsidDel="00000000" w:rsidR="00000000" w:rsidRPr="00000000">
        <w:rPr>
          <w:rFonts w:ascii="Gungsuh" w:cs="Gungsuh" w:eastAsia="Gungsuh" w:hAnsi="Gungsuh"/>
          <w:b w:val="0"/>
          <w:bCs w:val="0"/>
          <w:i w:val="0"/>
          <w:iCs w:val="0"/>
          <w:smallCaps w:val="0"/>
          <w:strike w:val="0"/>
          <w:color w:val="000000"/>
          <w:sz w:val="13.634514808654785"/>
          <w:szCs w:val="13.634514808654785"/>
          <w:u w:val="none"/>
          <w:shd w:fill="auto" w:val="clear"/>
          <w:vertAlign w:val="baseline"/>
          <w:rtl w:val="0"/>
        </w:rPr>
        <w:t xml:space="preserve">– 8,7 (− 10,2, − 7,2) &lt; 0,001 – 8,5 (− 10,1, − 7,0) &lt; 0,001 </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(GH)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54833984375" w:line="240" w:lineRule="auto"/>
        <w:ind w:left="28.740005493164062"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Domaines mentaux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076171875" w:line="211.24902248382568" w:lineRule="auto"/>
        <w:ind w:left="27.699966430664062" w:right="440.732421875"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Vitalité (VT) 51,4 (10,4) 55,3 (9,9) 44,8 (10,9) 45,4 (11,9) </w:t>
      </w:r>
      <w:r w:rsidDel="00000000" w:rsidR="00000000" w:rsidRPr="00000000">
        <w:rPr>
          <w:rFonts w:ascii="Gungsuh" w:cs="Gungsuh" w:eastAsia="Gungsuh" w:hAnsi="Gungsuh"/>
          <w:b w:val="0"/>
          <w:bCs w:val="0"/>
          <w:i w:val="0"/>
          <w:iCs w:val="0"/>
          <w:smallCaps w:val="0"/>
          <w:strike w:val="0"/>
          <w:color w:val="000000"/>
          <w:sz w:val="13.634514808654785"/>
          <w:szCs w:val="13.634514808654785"/>
          <w:u w:val="none"/>
          <w:shd w:fill="auto" w:val="clear"/>
          <w:vertAlign w:val="baseline"/>
          <w:rtl w:val="0"/>
        </w:rPr>
        <w:t xml:space="preserve">– 10,6 &lt; 0,001 – 9,9 (− 11,7, − 8,1) &lt; 0,001 </w:t>
      </w:r>
      <w:r w:rsidDel="00000000" w:rsidR="00000000" w:rsidRPr="00000000">
        <w:rPr>
          <w:rFonts w:ascii="Gungsuh" w:cs="Gungsuh" w:eastAsia="Gungsuh" w:hAnsi="Gungsuh"/>
          <w:b w:val="0"/>
          <w:bCs w:val="0"/>
          <w:i w:val="0"/>
          <w:iCs w:val="0"/>
          <w:smallCaps w:val="0"/>
          <w:strike w:val="0"/>
          <w:color w:val="000000"/>
          <w:sz w:val="13"/>
          <w:szCs w:val="13"/>
          <w:u w:val="none"/>
          <w:shd w:fill="auto" w:val="clear"/>
          <w:vertAlign w:val="baseline"/>
          <w:rtl w:val="0"/>
        </w:rPr>
        <w:t xml:space="preserve">(− 12,3, − 8,8)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37353515625" w:line="205.47264575958252" w:lineRule="auto"/>
        <w:ind w:left="151.85997009277344" w:right="277.691650390625" w:hanging="123.24996948242188"/>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Fonctionnement social 50,8 (9,4) 50,0 (10,4) 38,5 (13,2) 42,0 (12,9) </w:t>
      </w:r>
      <w:r w:rsidDel="00000000" w:rsidR="00000000" w:rsidRPr="00000000">
        <w:rPr>
          <w:rFonts w:ascii="Gungsuh" w:cs="Gungsuh" w:eastAsia="Gungsuh" w:hAnsi="Gungsuh"/>
          <w:b w:val="0"/>
          <w:bCs w:val="0"/>
          <w:i w:val="0"/>
          <w:iCs w:val="0"/>
          <w:smallCaps w:val="0"/>
          <w:strike w:val="0"/>
          <w:color w:val="000000"/>
          <w:sz w:val="13.634514808654785"/>
          <w:szCs w:val="13.634514808654785"/>
          <w:u w:val="none"/>
          <w:shd w:fill="auto" w:val="clear"/>
          <w:vertAlign w:val="baseline"/>
          <w:rtl w:val="0"/>
        </w:rPr>
        <w:t xml:space="preserve">– 11,4 &lt; 0,001 – 7,9 (− 9,8, − 6,0) &lt; 0,001 </w:t>
      </w:r>
      <w:r w:rsidDel="00000000" w:rsidR="00000000" w:rsidRPr="00000000">
        <w:rPr>
          <w:rFonts w:ascii="Gungsuh" w:cs="Gungsuh" w:eastAsia="Gungsuh" w:hAnsi="Gungsuh"/>
          <w:b w:val="0"/>
          <w:bCs w:val="0"/>
          <w:i w:val="0"/>
          <w:iCs w:val="0"/>
          <w:smallCaps w:val="0"/>
          <w:strike w:val="0"/>
          <w:color w:val="000000"/>
          <w:sz w:val="13"/>
          <w:szCs w:val="13"/>
          <w:u w:val="none"/>
          <w:shd w:fill="auto" w:val="clear"/>
          <w:vertAlign w:val="baseline"/>
          <w:rtl w:val="0"/>
        </w:rPr>
        <w:t xml:space="preserve">(SF) (− 13,4, − 9,5)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58154296875" w:line="205.47333240509033" w:lineRule="auto"/>
        <w:ind w:left="150.260009765625" w:right="440.732421875" w:hanging="120.1300048828125"/>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Limitation du rôle – 52,0 (8,2) 50,8 (10,0) 39,2 (15,4) 41,5 (14,7) </w:t>
      </w:r>
      <w:r w:rsidDel="00000000" w:rsidR="00000000" w:rsidRPr="00000000">
        <w:rPr>
          <w:rFonts w:ascii="Gungsuh" w:cs="Gungsuh" w:eastAsia="Gungsuh" w:hAnsi="Gungsuh"/>
          <w:b w:val="0"/>
          <w:bCs w:val="0"/>
          <w:i w:val="0"/>
          <w:iCs w:val="0"/>
          <w:smallCaps w:val="0"/>
          <w:strike w:val="0"/>
          <w:color w:val="000000"/>
          <w:sz w:val="13.634514808654785"/>
          <w:szCs w:val="13.634514808654785"/>
          <w:u w:val="none"/>
          <w:shd w:fill="auto" w:val="clear"/>
          <w:vertAlign w:val="baseline"/>
          <w:rtl w:val="0"/>
        </w:rPr>
        <w:t xml:space="preserve">– 11,6 &lt; 0,001 – 9,3 (− 11,4, − 7,1) &lt; 0,001 </w:t>
      </w:r>
      <w:r w:rsidDel="00000000" w:rsidR="00000000" w:rsidRPr="00000000">
        <w:rPr>
          <w:rFonts w:ascii="Gungsuh" w:cs="Gungsuh" w:eastAsia="Gungsuh" w:hAnsi="Gungsuh"/>
          <w:b w:val="0"/>
          <w:bCs w:val="0"/>
          <w:i w:val="0"/>
          <w:iCs w:val="0"/>
          <w:smallCaps w:val="0"/>
          <w:strike w:val="0"/>
          <w:color w:val="000000"/>
          <w:sz w:val="13"/>
          <w:szCs w:val="13"/>
          <w:u w:val="none"/>
          <w:shd w:fill="auto" w:val="clear"/>
          <w:vertAlign w:val="baseline"/>
          <w:rtl w:val="0"/>
        </w:rPr>
        <w:t xml:space="preserve">Émotionnel (RE) (− 13,9, − 7,1)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48388671875" w:line="201.03106498718262" w:lineRule="auto"/>
        <w:ind w:left="152.85995483398438" w:right="277.691650390625" w:hanging="117.13996887207031"/>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Santé mentale 53,2 (9,6) 52,7 (10,1) 45,1 (13,1) 46,6 (12,6) </w:t>
      </w:r>
      <w:r w:rsidDel="00000000" w:rsidR="00000000" w:rsidRPr="00000000">
        <w:rPr>
          <w:rFonts w:ascii="Gungsuh" w:cs="Gungsuh" w:eastAsia="Gungsuh" w:hAnsi="Gungsuh"/>
          <w:b w:val="0"/>
          <w:bCs w:val="0"/>
          <w:i w:val="0"/>
          <w:iCs w:val="0"/>
          <w:smallCaps w:val="0"/>
          <w:strike w:val="0"/>
          <w:color w:val="000000"/>
          <w:sz w:val="13.634514808654785"/>
          <w:szCs w:val="13.634514808654785"/>
          <w:u w:val="none"/>
          <w:shd w:fill="auto" w:val="clear"/>
          <w:vertAlign w:val="baseline"/>
          <w:rtl w:val="0"/>
        </w:rPr>
        <w:t xml:space="preserve">– 7,6 (− 9,5, − 5,7) &lt; 0,001 – 6,1 (− 7,9, − 4,3) &lt; 0,001 </w:t>
      </w: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(MH)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72705078125" w:line="205.09573459625244" w:lineRule="auto"/>
        <w:ind w:left="2.1799468994140625" w:right="162.275390625" w:firstLine="20.849990844726562"/>
        <w:jc w:val="both"/>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Tendances des scores SF36 v2 au départ, à 6 mois et à 12 mois. Les modèles de changement ont été estimés par régression linéaire dans un cadre GEE ajusté pour  les mesures répétées sur trois points dans le temps et incluant des covariables pour le sexe et l'âge au départ.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Tous les modèles incluent un effet aléatoire pour le  patient estimé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par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REML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986328125" w:line="236.1055612564087" w:lineRule="auto"/>
        <w:ind w:left="0" w:right="165.0885009765625" w:firstLine="5.9499359130859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que les patients ayant une durée d'hospitalisation prolongée, un GCS  initial faible à l'admission et un statut indemnisable présentaient des  baisses plus importantes de leurs fonctions mentales au fil du temps.  Toutes les autres interactions avec le temps pour les deux résultats, en  particulier l'âge et le sexe, n'étaient pas significatives. La corrélation  entre le PCS et le MCS avant la blessure est très faible et non linéaire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 </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de Pearson = 0,10, rho de Spearman = − 0,03). Lors des deux  suivis, les corrélations sont légèrement plus élevées mais similaires  en valeur pour Pearson et Spearman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0,24 à 12 mois).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6080322265625" w:line="240" w:lineRule="auto"/>
        <w:ind w:left="14.19998168945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Discussion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9638671875" w:line="236.10551834106445" w:lineRule="auto"/>
        <w:ind w:left="2.039947509765625" w:right="165.0885009765625" w:firstLine="1.699981689453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L'étude des résultats à long terme après une lésion traumatique est  devenue la référence pour évaluer la qualité de vie des survivants de  traumatismes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analyses des déficiences physiques et  émotionnelles auto-déclarées tentent de saisir et de quantifier les  effets à long terme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9008255004883" w:lineRule="auto"/>
        <w:ind w:left="122.9998779296875" w:right="35.118408203125" w:firstLine="5.4400634765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19.6600341796875" w:right="955.457763671875" w:header="0" w:footer="720"/>
          <w:cols w:equalWidth="0" w:num="2">
            <w:col w:space="0" w:w="4980"/>
            <w:col w:space="0" w:w="498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 fardeau des traumatismes dans le but d'améliorer la qualité des  soins traumatologiques et l'utilisation des ressources de santé. Cette  étude a démontré une santé physique nettement meilleure avant la  blessure par rapport à la population générale australienne. Cependant,  après 12 mois de suivi, les scores de QVLS en matière de santé  physique et mentale restaient bien inférieurs à ceux de la population  générale australienne, 78 % et 82 % des patients, respectivement,  ayant des scores moyens de PCS et de MCS bien inférieurs à ceux de  la population générale australienne. Les facteurs  sociodémographiques et liés aux blessures ont influencé le  rétablissement des patients, les caractéristiques démographiques des  répondants décrivant une population plus âgée présentant davantage  de comorbidités. Après ajustement en fonction de l'âge et d'autres  variables confusionnelles, la gravité des blessures, les  polytraumatismes, un faible score GCS à l'admission, l'admission en  soins intensifs, la durée du séjour à l'hôpital et le statut indemnisable  ont été associés à une mauvaise qualité de vie liée à la santé  persistante 12 mois après la blessure dans cette cohorte. Nos  répondants ont révélé une incidence élevée de problèmes persistants  12 mois après la blessure, ce qui correspond à la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990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1446S. Meakes et 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19140625" w:line="240" w:lineRule="auto"/>
        <w:ind w:left="28.57994079589843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Fig. 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Répartition des scores des  </w:t>
      </w:r>
      <w:r w:rsidDel="00000000" w:rsidR="00000000" w:rsidRPr="00000000">
        <w:drawing>
          <wp:anchor allowOverlap="1" behindDoc="0" distB="19050" distT="19050" distL="19050" distR="19050" hidden="0" layoutInCell="1" locked="0" relativeHeight="0" simplePos="0">
            <wp:simplePos x="0" y="0"/>
            <wp:positionH relativeFrom="column">
              <wp:posOffset>1704969</wp:posOffset>
            </wp:positionH>
            <wp:positionV relativeFrom="paragraph">
              <wp:posOffset>64504</wp:posOffset>
            </wp:positionV>
            <wp:extent cx="4571999" cy="3098292"/>
            <wp:effectExtent b="0" l="0" r="0" t="0"/>
            <wp:wrapSquare wrapText="left" distB="19050" distT="19050" distL="19050" distR="1905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1999" cy="3098292"/>
                    </a:xfrm>
                    <a:prstGeom prst="rect"/>
                    <a:ln/>
                  </pic:spPr>
                </pic:pic>
              </a:graphicData>
            </a:graphic>
          </wp:anchor>
        </w:draw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7999572753906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domaines des patients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995910644531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fonctionnant au fil du temps.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7996520996093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Sous-échelles SF36 v2 au fil du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998352050781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temps à partir du début,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7993469238281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6 mois et 12 mois. PCS : score de la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2998962402343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composante physique, MCS : score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7999572753906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de la composante mentale. La ligne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2993164062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rouge indique les normes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997741699218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australiennes.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6397705078125" w:line="236.10548973083496" w:lineRule="auto"/>
        <w:ind w:left="0" w:right="151.65771484375" w:firstLine="19.209976196289062"/>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état de maladie chronique, qui ne pouvait être prédit que par des  facteurs non modifiables par les soins de santé. Cela a des  implications importantes pour les centres de traumatologie, la  réadaptation et les régimes d'indemnisation, entraînant une perte de  productivité et une utilisation accrue des soins de santé. Les mesures  du fardeau des blessures doivent tenir compte des effets à long terme  des blessures et identifier les facteurs prédictifs modifiables pour tous  les survivants, y compris ceux qui ne répondent pas au traitement. Les  non-répondeurs de cette cohorte étaient comparables aux répondeurs  en termes de type et de gravité des blessures, mais ils étaient plus  jeunes, présentaient beaucoup moins de comorbidités, avaient un  niveau d'éducation moins élevé, étaient sans emploi avant leur  blessure et avaient été admis avec un score GCS initial plus faible.  Comme dans d'autres études, ces faibles taux de réponse rendent  difficile de déterminer en quoi les non-répondeurs diffèrent des  répondeurs en termes de résultats de santé à long terme et de schémas  de rétablissement. À notre connaissance, cette étude est la première à  décrire les résultats fonctionnels à 12 mois après un traumatisme  majeur pris en charge de manière inclusive dans notre État,  contribuant ainsi à l'ensemble croissant de preuves démontrant le  fardeau à long terme des blessures traumatiques. La compréhension  du fardeau de la maladie et de la complexité des facteurs entravant le  rétablissement permet de mieux comprendre la faisabilité de modifier  les interventions pour les patients à risque afin de réduire la morbidité  globale.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97900390625" w:line="237.6826000213623" w:lineRule="auto"/>
        <w:ind w:left="246.0399627685547" w:right="113.699951171875" w:hanging="3.2299804687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Résultats en matière de QVLS dans ce groupe d'étude rapportés  avant la blessure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87109375" w:line="236.10551834106445" w:lineRule="auto"/>
        <w:ind w:left="12.580032348632812" w:right="155.567626953125" w:firstLine="5.94993591308593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des scores supérieurs à ceux de la population générale, avec des  baisses significatives des scores PCS et MCS inférieurs à ceux de la  population générale 12 mois après la blessure. Le biais de sélection  expliquerait les scores supérieurs à ceux de la population générale  avant la blessure, car ces patients étaient suffisamment actifs pour  être gravement blessés. Cependant, 12 mois après la blessure, tous les  sous-domaines de la QVLS étaient altérés, le rôle physique subissant  la plus forte baisse moyenne.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420747756958" w:lineRule="auto"/>
        <w:ind w:left="135.579833984375" w:right="27.637939453125" w:firstLine="5.94970703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07.0800018310547" w:right="960.557861328125" w:header="0" w:footer="720"/>
          <w:cols w:equalWidth="0" w:num="2">
            <w:col w:space="0" w:w="4980"/>
            <w:col w:space="0" w:w="498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diminution suivie par le fonctionnement physique et les douleurs  corporelles. Cela suggère qu'une proportion importante des  participants à l'étude ont signalé des difficultés persistantes à  effectuer des activités physiques régulières en raison d'une mauvaise  santé physique et de douleurs corporelles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Ces tendances à la  diminution du fonctionnement physique et des rôles physiques  correspondent aux conséquences auto-déclarées de la blessure, à savoir  des douleurs persistantes (62 %), une perte de fonction (71 %) et  l'incapacité de reprendre un travail normal 12 mois après la blessure.  Bien que seulement 45 % des patients aient déclaré avoir  complètement récupéré au bout de 12 mois, il semble que cette  lenteur de la récupération après une blessure soit conforme à la  littérature issue d'études nationales et internationales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8-11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Soberg et al. ont rapporté les résultats sur la QVLS des  patients traumatisés sur une période de 10 ans et ont constaté que le  fonctionnement physique et la douleur corporelle au cours des  premières années suivant la blessure étaient des prédicteurs  significatifs d'une mauvaise santé physique à long terme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facteurs prédictifs indépendants associés à une baisse des scores de  santé physique et mentale observés dans cette cohorte semblent  relativement cohérents avec les résultats rapportés dans des études  nationales menées dans les États de Victoria, de Nouvelle-Galles du  Sud et du Queensland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Aitken et al. rapportent les résultats  obtenus chez 123 patients traumatisés admis en soins intensifs, qui  montrent une amélioration constante du MCS et du PCS à 24 mois, la  durée d'hospitalisation étant un facteur prédictif d'une fonction  physique plus faible, avec une durée moyenne d'hospitalisation de  20,2 jours et une durée moyenne en soins intensifs de 3 jours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De  même, l'étude de Gabbe et al. portant sur 662 patients victimes de  traumatismes majeurs dans l'État de Victoria suivis pendant 24 mois a  montré une amélioration du PCS 12 mois après la blessure, les scores  MCS ne s'améliorant qu'après 18 mois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En outre, Gabbe et al. ont  identifié des résultats fonctionnels ajustés au risque plus faibles chez  les femmes, les patients âgés présentant de multiples comorbidités,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599578857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Résultats fonctionnels à long terme dans les cas de polytraumatismes : une approche fondamentalement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4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9930419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nouvelle est nécessaire dans...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99609375" w:line="240" w:lineRule="auto"/>
        <w:ind w:left="19.87998962402343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Tableau 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Variables associées aux résultats en matière de fonctionnement physique et mental au fil du temps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0765609741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Variable Comparaison Moyenne non  ajustée (IC à 95 %)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7949218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Résultat : score de la composante physique (PCS)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0765609741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Valeur p  non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ajustée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0765609741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Moyenne ajustée  (IC à 95 %)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183675765991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Valeur p ajustée Interaction avec temps à 6 mois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Moyenne, valeur 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0765609741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Interaction avec le  temps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à 12 mois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Moyenne,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20.3500366210938" w:right="1072.850341796875" w:header="0" w:footer="720"/>
          <w:cols w:equalWidth="0" w:num="5">
            <w:col w:space="0" w:w="1980"/>
            <w:col w:space="0" w:w="1980"/>
            <w:col w:space="0" w:w="1980"/>
            <w:col w:space="0" w:w="1980"/>
            <w:col w:space="0" w:w="198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valeur p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0068359375" w:line="243.85857582092285" w:lineRule="auto"/>
        <w:ind w:left="172.20993041992188" w:right="319.0917968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Âge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0,16 (− 0,21, &lt; 0,001 – 0,05 (− 0,14,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0,199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0,01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0,756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0,01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0,860 0,11) 0,03)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583984375" w:line="208.2730436325073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Sexe Femmes vs  hommes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8679542541504"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181.929931640625" w:right="1126.77001953125" w:header="0" w:footer="720"/>
          <w:cols w:equalWidth="0" w:num="2">
            <w:col w:space="0" w:w="4800"/>
            <w:col w:space="0" w:w="4800"/>
          </w:cols>
        </w:sectPr>
      </w:pP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1,19 (− 0,92,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0,268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1,01 (− 0,87,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0,291 – 0,34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0,831 – 2,07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0,270 3,97) 2,90)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5723114013672" w:lineRule="auto"/>
        <w:ind w:left="245.159912109375" w:right="319.091796875" w:hanging="70.99998474121094"/>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Éducation — Oui/Non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1,08 (− 1,66,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0,441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1,50 (− 0,92,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0,224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1,53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0,433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0,20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0,931 université 3,81) 3,91)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828125" w:line="243.85723114013672" w:lineRule="auto"/>
        <w:ind w:left="174.15992736816406" w:right="319.0917968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Emploi Oui/Non 2,65 (0,75, 4,55) 0,006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0,19 (− 2,14,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0,847 – 2,31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0,100 – 3,28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0,051 1,75)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6083984375" w:line="240.08036613464355" w:lineRule="auto"/>
        <w:ind w:left="250.40992736816406" w:right="419.83642578125" w:hanging="74.00001525878906"/>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Charlson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1,86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0,001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1,35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0,005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0,33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0,427 0,17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0,719 </w:t>
      </w: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Comorbidité (− 2,38, − 1,33) (− 2,29, − 0,42)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7599182128906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Indice (CCI)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0439453125" w:line="222.1333408355713"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Score de gravité  des blessures  (ISS)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08.2723712921142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Durée du séjour à  l'hôpital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634765625" w:line="208.2723712921142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Admission en  soins intensifs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0,12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(− 0,21, − 0,03)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002197265625" w:line="240" w:lineRule="auto"/>
        <w:ind w:left="0" w:right="0" w:firstLine="0"/>
        <w:jc w:val="left"/>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0,08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(− 0,11, − 0,04)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02197265625" w:line="240" w:lineRule="auto"/>
        <w:ind w:left="0" w:right="0" w:firstLine="0"/>
        <w:jc w:val="left"/>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Oui/Non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2,17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8034667968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(− 4,04, − 0,31)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6983470916748"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0,010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0,04 (− 0,13,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0,06)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9736328125" w:line="240" w:lineRule="auto"/>
        <w:ind w:left="0" w:right="0" w:firstLine="0"/>
        <w:jc w:val="left"/>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0,001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0,04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40454101562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(− 0,08, − 0,01)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02197265625" w:line="202.719039916992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0,022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0,78 (− 2,72,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1,16)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0,463 – 0,12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0,071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 0,24 ; </w:t>
      </w:r>
      <w:r w:rsidDel="00000000" w:rsidR="00000000" w:rsidRPr="00000000">
        <w:rPr>
          <w:rFonts w:ascii="Times New Roman" w:cs="Times New Roman" w:eastAsia="Times New Roman" w:hAnsi="Times New Roman"/>
          <w:b w:val="1"/>
          <w:bCs w:val="1"/>
          <w:i w:val="1"/>
          <w:iCs w:val="1"/>
          <w:smallCaps w:val="0"/>
          <w:strike w:val="0"/>
          <w:color w:val="000000"/>
          <w:sz w:val="15.732131958007812"/>
          <w:szCs w:val="15.732131958007812"/>
          <w:u w:val="none"/>
          <w:shd w:fill="auto" w:val="clear"/>
          <w:vertAlign w:val="baseline"/>
          <w:rtl w:val="0"/>
        </w:rPr>
        <w:t xml:space="preserve">p </w:t>
      </w:r>
      <w:r w:rsidDel="00000000" w:rsidR="00000000" w:rsidRPr="00000000">
        <w:rPr>
          <w:rFonts w:ascii="Times New Roman" w:cs="Times New Roman" w:eastAsia="Times New Roman" w:hAnsi="Times New Roman"/>
          <w:b w:val="1"/>
          <w:bCs w:val="1"/>
          <w:i w:val="0"/>
          <w:iCs w:val="0"/>
          <w:smallCaps w:val="0"/>
          <w:strike w:val="0"/>
          <w:color w:val="000000"/>
          <w:sz w:val="16.085708618164062"/>
          <w:szCs w:val="16.0857086181640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tl w:val="0"/>
        </w:rPr>
        <w:t xml:space="preserve">0,002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404296875" w:line="498.6896324157715" w:lineRule="auto"/>
        <w:ind w:left="0" w:right="0" w:firstLine="0"/>
        <w:jc w:val="left"/>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Pr>
        <w:sectPr>
          <w:type w:val="continuous"/>
          <w:pgSz w:h="15820" w:w="11900" w:orient="portrait"/>
          <w:pgMar w:bottom="1320.5398559570312" w:top="368.699951171875" w:left="1173.6799621582031" w:right="1021.95556640625" w:header="0" w:footer="720"/>
          <w:cols w:equalWidth="0" w:num="4">
            <w:col w:space="0" w:w="2440"/>
            <w:col w:space="0" w:w="2440"/>
            <w:col w:space="0" w:w="2440"/>
            <w:col w:space="0" w:w="244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0,016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0,14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&lt; 0,001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 0,12 ; </w:t>
      </w:r>
      <w:r w:rsidDel="00000000" w:rsidR="00000000" w:rsidRPr="00000000">
        <w:rPr>
          <w:rFonts w:ascii="Times New Roman" w:cs="Times New Roman" w:eastAsia="Times New Roman" w:hAnsi="Times New Roman"/>
          <w:b w:val="1"/>
          <w:bCs w:val="1"/>
          <w:i w:val="1"/>
          <w:iCs w:val="1"/>
          <w:smallCaps w:val="0"/>
          <w:strike w:val="0"/>
          <w:color w:val="000000"/>
          <w:sz w:val="15.732131958007812"/>
          <w:szCs w:val="15.732131958007812"/>
          <w:u w:val="none"/>
          <w:shd w:fill="auto" w:val="clear"/>
          <w:vertAlign w:val="baseline"/>
          <w:rtl w:val="0"/>
        </w:rPr>
        <w:t xml:space="preserve">p </w:t>
      </w:r>
      <w:r w:rsidDel="00000000" w:rsidR="00000000" w:rsidRPr="00000000">
        <w:rPr>
          <w:rFonts w:ascii="Times New Roman" w:cs="Times New Roman" w:eastAsia="Times New Roman" w:hAnsi="Times New Roman"/>
          <w:b w:val="1"/>
          <w:bCs w:val="1"/>
          <w:i w:val="0"/>
          <w:iCs w:val="0"/>
          <w:smallCaps w:val="0"/>
          <w:strike w:val="0"/>
          <w:color w:val="000000"/>
          <w:sz w:val="16.085708618164062"/>
          <w:szCs w:val="16.085708618164062"/>
          <w:u w:val="none"/>
          <w:shd w:fill="auto" w:val="clear"/>
          <w:vertAlign w:val="baseline"/>
          <w:rtl w:val="0"/>
        </w:rPr>
        <w:t xml:space="preserve">&lt; </w:t>
      </w:r>
      <w:r w:rsidDel="00000000" w:rsidR="00000000" w:rsidRPr="00000000">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tl w:val="0"/>
        </w:rPr>
        <w:t xml:space="preserve">0,001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0,428 – 3,40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0,013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 4,64 ; </w:t>
      </w:r>
      <w:r w:rsidDel="00000000" w:rsidR="00000000" w:rsidRPr="00000000">
        <w:rPr>
          <w:rFonts w:ascii="Times New Roman" w:cs="Times New Roman" w:eastAsia="Times New Roman" w:hAnsi="Times New Roman"/>
          <w:b w:val="1"/>
          <w:bCs w:val="1"/>
          <w:i w:val="1"/>
          <w:iCs w:val="1"/>
          <w:smallCaps w:val="0"/>
          <w:strike w:val="0"/>
          <w:color w:val="000000"/>
          <w:sz w:val="15.732131958007812"/>
          <w:szCs w:val="15.732131958007812"/>
          <w:u w:val="none"/>
          <w:shd w:fill="auto" w:val="clear"/>
          <w:vertAlign w:val="baseline"/>
          <w:rtl w:val="0"/>
        </w:rPr>
        <w:t xml:space="preserve">p </w:t>
      </w:r>
      <w:r w:rsidDel="00000000" w:rsidR="00000000" w:rsidRPr="00000000">
        <w:rPr>
          <w:rFonts w:ascii="Times New Roman" w:cs="Times New Roman" w:eastAsia="Times New Roman" w:hAnsi="Times New Roman"/>
          <w:b w:val="1"/>
          <w:bCs w:val="1"/>
          <w:i w:val="0"/>
          <w:iCs w:val="0"/>
          <w:smallCaps w:val="0"/>
          <w:strike w:val="0"/>
          <w:color w:val="000000"/>
          <w:sz w:val="16.085708618164062"/>
          <w:szCs w:val="16.08570861816406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tl w:val="0"/>
        </w:rPr>
        <w:t xml:space="preserve">0,004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22412109375" w:line="243.85857582092285" w:lineRule="auto"/>
        <w:ind w:left="173.55987548828125" w:right="319.0917968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Polytraumatisme Oui/Non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2,41 (− 5,14,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0,083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1,95 (− 4,56,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0,142 – 2,76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0,188 – 5,62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0,019 0,32) 0,65)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583984375" w:line="241.19173049926758" w:lineRule="auto"/>
        <w:ind w:left="176.25991821289062" w:right="419.8364257812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GCS initial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0,11 (− 0,14,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0,376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0,04 (− 0,22,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0,782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0,20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0,318 0,36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0,144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0,37) 0,29)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06837463378906" w:lineRule="auto"/>
        <w:ind w:left="21.079940795898438" w:right="230.21728515625" w:firstLine="222.5500488281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compensable (− 5,87, − 1,96) (− 5,34, − 1,72) </w:t>
      </w:r>
      <w:r w:rsidDel="00000000" w:rsidR="00000000" w:rsidRPr="00000000">
        <w:rPr>
          <w:rFonts w:ascii="Times New Roman" w:cs="Times New Roman" w:eastAsia="Times New Roman" w:hAnsi="Times New Roman"/>
          <w:b w:val="0"/>
          <w:bCs w:val="0"/>
          <w:i w:val="1"/>
          <w:iCs w:val="1"/>
          <w:smallCaps w:val="0"/>
          <w:strike w:val="0"/>
          <w:color w:val="000000"/>
          <w:sz w:val="15.732131958007812"/>
          <w:szCs w:val="15.73213195800781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 &lt; 0,001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Assurance — Oui/Non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3,91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0,001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3,53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0,001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6,01 ;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 7,17 ; </w:t>
      </w:r>
      <w:r w:rsidDel="00000000" w:rsidR="00000000" w:rsidRPr="00000000">
        <w:rPr>
          <w:rFonts w:ascii="Times New Roman" w:cs="Times New Roman" w:eastAsia="Times New Roman" w:hAnsi="Times New Roman"/>
          <w:b w:val="1"/>
          <w:bCs w:val="1"/>
          <w:i w:val="1"/>
          <w:iCs w:val="1"/>
          <w:smallCaps w:val="0"/>
          <w:strike w:val="0"/>
          <w:color w:val="000000"/>
          <w:sz w:val="15.732131958007812"/>
          <w:szCs w:val="15.732131958007812"/>
          <w:u w:val="none"/>
          <w:shd w:fill="auto" w:val="clear"/>
          <w:vertAlign w:val="baseline"/>
          <w:rtl w:val="0"/>
        </w:rPr>
        <w:t xml:space="preserve">p </w:t>
      </w:r>
      <w:r w:rsidDel="00000000" w:rsidR="00000000" w:rsidRPr="00000000">
        <w:rPr>
          <w:rFonts w:ascii="Times New Roman" w:cs="Times New Roman" w:eastAsia="Times New Roman" w:hAnsi="Times New Roman"/>
          <w:b w:val="1"/>
          <w:bCs w:val="1"/>
          <w:i w:val="0"/>
          <w:iCs w:val="0"/>
          <w:smallCaps w:val="0"/>
          <w:strike w:val="0"/>
          <w:color w:val="000000"/>
          <w:sz w:val="16.085708618164062"/>
          <w:szCs w:val="16.085708618164062"/>
          <w:u w:val="none"/>
          <w:shd w:fill="auto" w:val="clear"/>
          <w:vertAlign w:val="baseline"/>
          <w:rtl w:val="0"/>
        </w:rPr>
        <w:t xml:space="preserve">&lt; </w:t>
      </w:r>
      <w:r w:rsidDel="00000000" w:rsidR="00000000" w:rsidRPr="00000000">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tl w:val="0"/>
        </w:rPr>
        <w:t xml:space="preserve">0,001</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Résultat : score de la composante mentale (MCS)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5723114013672" w:lineRule="auto"/>
        <w:ind w:left="171.72996520996094" w:right="319.57153320312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Âge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0,04 (− 0,03,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0,304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0,08 (− 0,04,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0,209 – 0,05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0,338 – 0,01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0,866 0,11) 0,20)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76708984375" w:line="208.2723712921142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Sexe — féminin Femmes vs  hommes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8679542541504"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181.449966430664" w:right="1227.994384765625" w:header="0" w:footer="720"/>
          <w:cols w:equalWidth="0" w:num="2">
            <w:col w:space="0" w:w="4760"/>
            <w:col w:space="0" w:w="4760"/>
          </w:cols>
        </w:sectPr>
      </w:pP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1,51 (− 1,28,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0,288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0,94 (− 1,85,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0,510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3,04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0,162 2,77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0,202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4,31) 3,72)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5791778564453" w:lineRule="auto"/>
        <w:ind w:left="245.27992248535156" w:right="319.571533203125" w:hanging="71.59996032714844"/>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Éducation — Oui/Non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1,27 (− 4,90,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0,493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1,52 (− 5,12,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0,406 – 3,27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0,220 – 1,00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0,706 Université 2,36) 2,08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4501953125" w:line="243.85791778564453" w:lineRule="auto"/>
        <w:ind w:left="173.67996215820312" w:right="420.3161621093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Employé Oui/Non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2,28 (− 0,27,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0,079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2,67 (− 0,21,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0,069 – 0,66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0,732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0,47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0,811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4,82) 5,54)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66943359375" w:line="240.0813102722168" w:lineRule="auto"/>
        <w:ind w:left="249.92996215820312" w:right="319.571533203125" w:hanging="74.00001525878906"/>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Charlson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0,07 (− 0,69,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0,866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0,17 (− 1,56,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0,813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0,08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0,888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0,01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0,991 Comorbidité 0,82) 1,22)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799530029297"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Indice (CCI)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04443359375" w:line="208.2720422744751"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Gravité de la  blessure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171.8499755859375" w:right="1127.249755859375" w:header="0" w:footer="720"/>
          <w:cols w:equalWidth="0" w:num="2">
            <w:col w:space="0" w:w="4820"/>
            <w:col w:space="0" w:w="4820"/>
          </w:cols>
        </w:sectPr>
      </w:pP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0,09 (− 0,21,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0,134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0,01 (− 0,13,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0,859 – 0,30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0,001 – 0,11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0,227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5975341796875" w:line="240" w:lineRule="auto"/>
        <w:ind w:left="253.9799499511718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Score (ISS) 0,03) 0,15)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0029296875" w:line="208.2723712921142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Durée du séjour à  l'hôpital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0,09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(− 0,13, − 0,04)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0,001 </w:t>
      </w:r>
      <w:r w:rsidDel="00000000" w:rsidR="00000000" w:rsidRPr="00000000">
        <w:rPr>
          <w:rFonts w:ascii="Times New Roman" w:cs="Times New Roman" w:eastAsia="Times New Roman" w:hAnsi="Times New Roman"/>
          <w:b w:val="0"/>
          <w:bCs w:val="0"/>
          <w:i w:val="0"/>
          <w:iCs w:val="0"/>
          <w:smallCaps w:val="0"/>
          <w:strike w:val="0"/>
          <w:color w:val="000000"/>
          <w:sz w:val="16.431676864624023"/>
          <w:szCs w:val="16.431676864624023"/>
          <w:u w:val="none"/>
          <w:shd w:fill="auto" w:val="clear"/>
          <w:vertAlign w:val="baseline"/>
          <w:rtl w:val="0"/>
        </w:rPr>
        <w:t xml:space="preserve">– 0,08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858398437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5"/>
          <w:szCs w:val="15"/>
          <w:u w:val="none"/>
          <w:shd w:fill="auto" w:val="clear"/>
          <w:vertAlign w:val="baseline"/>
          <w:rtl w:val="0"/>
        </w:rPr>
        <w:t xml:space="preserve">(− 0,13, − 0,03)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Pr>
        <w:sectPr>
          <w:type w:val="continuous"/>
          <w:pgSz w:h="15820" w:w="11900" w:orient="portrait"/>
          <w:pgMar w:bottom="1320.5398559570312" w:top="368.699951171875" w:left="1174.5499420166016" w:right="1033.170166015625" w:header="0" w:footer="720"/>
          <w:cols w:equalWidth="0" w:num="4">
            <w:col w:space="0" w:w="2440"/>
            <w:col w:space="0" w:w="2440"/>
            <w:col w:space="0" w:w="2440"/>
            <w:col w:space="0" w:w="244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0,003 – 0,14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&lt; 0,001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 0,14 ; </w:t>
      </w:r>
      <w:r w:rsidDel="00000000" w:rsidR="00000000" w:rsidRPr="00000000">
        <w:rPr>
          <w:rFonts w:ascii="Times New Roman" w:cs="Times New Roman" w:eastAsia="Times New Roman" w:hAnsi="Times New Roman"/>
          <w:b w:val="1"/>
          <w:bCs w:val="1"/>
          <w:i w:val="1"/>
          <w:iCs w:val="1"/>
          <w:smallCaps w:val="0"/>
          <w:strike w:val="0"/>
          <w:color w:val="000000"/>
          <w:sz w:val="15.732131958007812"/>
          <w:szCs w:val="15.732131958007812"/>
          <w:u w:val="none"/>
          <w:shd w:fill="auto" w:val="clear"/>
          <w:vertAlign w:val="baseline"/>
          <w:rtl w:val="0"/>
        </w:rPr>
        <w:t xml:space="preserve">p </w:t>
      </w:r>
      <w:r w:rsidDel="00000000" w:rsidR="00000000" w:rsidRPr="00000000">
        <w:rPr>
          <w:rFonts w:ascii="Times New Roman" w:cs="Times New Roman" w:eastAsia="Times New Roman" w:hAnsi="Times New Roman"/>
          <w:b w:val="1"/>
          <w:bCs w:val="1"/>
          <w:i w:val="0"/>
          <w:iCs w:val="0"/>
          <w:smallCaps w:val="0"/>
          <w:strike w:val="0"/>
          <w:color w:val="000000"/>
          <w:sz w:val="16.085708618164062"/>
          <w:szCs w:val="16.085708618164062"/>
          <w:u w:val="none"/>
          <w:shd w:fill="auto" w:val="clear"/>
          <w:vertAlign w:val="baseline"/>
          <w:rtl w:val="0"/>
        </w:rPr>
        <w:t xml:space="preserve">&lt; </w:t>
      </w:r>
      <w:r w:rsidDel="00000000" w:rsidR="00000000" w:rsidRPr="00000000">
        <w:rPr>
          <w:rFonts w:ascii="Times New Roman" w:cs="Times New Roman" w:eastAsia="Times New Roman" w:hAnsi="Times New Roman"/>
          <w:b w:val="1"/>
          <w:bCs w:val="1"/>
          <w:i w:val="0"/>
          <w:iCs w:val="0"/>
          <w:smallCaps w:val="0"/>
          <w:strike w:val="0"/>
          <w:color w:val="000000"/>
          <w:sz w:val="15.732131958007812"/>
          <w:szCs w:val="15.732131958007812"/>
          <w:u w:val="none"/>
          <w:shd w:fill="auto" w:val="clear"/>
          <w:vertAlign w:val="baseline"/>
          <w:rtl w:val="0"/>
        </w:rPr>
        <w:t xml:space="preserve">0,001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95751953125" w:line="208.2720422744751"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Admission en  soins intensifs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8682975769043"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173.1999969482422" w:right="1127.249755859375" w:header="0" w:footer="720"/>
          <w:cols w:equalWidth="0" w:num="2">
            <w:col w:space="0" w:w="4800"/>
            <w:col w:space="0" w:w="480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Oui/Non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2,41 (− 4,90,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0,057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0,05 (− 2,92,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0,975 – 5,20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0,006 – 4,32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0,023 0,07) 2,83)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5823249816895" w:lineRule="auto"/>
        <w:ind w:left="173.0799102783203" w:right="319.57153320312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Polytraumatisme Oui/Non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3,51 (− 7,12,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0,057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2,78 (− 6,62,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0,157 – 2,63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0,365 – 1,05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0,706 0,10) 1,07)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615478515625" w:line="211.02667808532715" w:lineRule="auto"/>
        <w:ind w:left="175.7799530029297" w:right="420.3161621093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GCS initial 0,41 (0,08, 0,75) 0,015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0,26 (− 0,12,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0,176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0,86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0,001 1,04 ; </w:t>
      </w:r>
      <w:r w:rsidDel="00000000" w:rsidR="00000000" w:rsidRPr="00000000">
        <w:rPr>
          <w:rFonts w:ascii="Times New Roman" w:cs="Times New Roman" w:eastAsia="Times New Roman" w:hAnsi="Times New Roman"/>
          <w:b w:val="0"/>
          <w:bCs w:val="0"/>
          <w:i w:val="1"/>
          <w:iCs w:val="1"/>
          <w:smallCaps w:val="0"/>
          <w:strike w:val="0"/>
          <w:color w:val="000000"/>
          <w:sz w:val="15.3704252243042"/>
          <w:szCs w:val="15.3704252243042"/>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 0,001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0,64)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015625" w:line="205.09573459625244"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Assurance —  indemnisable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19039916992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Oui/Non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2,12 (− 4,78,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0,54)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190399169922"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0,119 </w:t>
      </w:r>
      <w:r w:rsidDel="00000000" w:rsidR="00000000" w:rsidRPr="00000000">
        <w:rPr>
          <w:rFonts w:ascii="Gungsuh" w:cs="Gungsuh" w:eastAsia="Gungsuh" w:hAnsi="Gungsuh"/>
          <w:b w:val="0"/>
          <w:bCs w:val="0"/>
          <w:i w:val="0"/>
          <w:iCs w:val="0"/>
          <w:smallCaps w:val="0"/>
          <w:strike w:val="0"/>
          <w:color w:val="000000"/>
          <w:sz w:val="15.732131958007812"/>
          <w:szCs w:val="15.732131958007812"/>
          <w:u w:val="none"/>
          <w:shd w:fill="auto" w:val="clear"/>
          <w:vertAlign w:val="baseline"/>
          <w:rtl w:val="0"/>
        </w:rPr>
        <w:t xml:space="preserve">– 1,44 (− 4,13,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1,24)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172.2000122070312" w:right="1061.39892578125" w:header="0" w:footer="720"/>
          <w:cols w:equalWidth="0" w:num="4">
            <w:col w:space="0" w:w="2420"/>
            <w:col w:space="0" w:w="2420"/>
            <w:col w:space="0" w:w="2420"/>
            <w:col w:space="0" w:w="242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0,292 – 9,11 ; </w:t>
      </w:r>
      <w:r w:rsidDel="00000000" w:rsidR="00000000" w:rsidRPr="00000000">
        <w:rPr>
          <w:rFonts w:ascii="Times New Roman" w:cs="Times New Roman" w:eastAsia="Times New Roman" w:hAnsi="Times New Roman"/>
          <w:b w:val="0"/>
          <w:bCs w:val="0"/>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&lt; 0,001 – 10,15 ; </w:t>
      </w: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p </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&lt; 0,001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394836425781" w:line="205.09573459625244" w:lineRule="auto"/>
        <w:ind w:left="23.929977416992188" w:right="162.880859375" w:hanging="4.04998779296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Variables associées aux résultats fonctionnels physiques et mentaux au fil du temps. Les effets ont été estimés à l'aide d'une régression linéaire dans un cadre GEE  ajusté pour les mesures répétées sur les trois points temporels. Les effets ajustés proviennent de modèles qui incluaient toutes les variables du tableau. Les modèles  avec interaction incluaient un effet de la variable par temps catégoriel.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990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1448S. Meakes et 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982421875" w:line="236.10547542572021" w:lineRule="auto"/>
        <w:ind w:left="0" w:right="146.1077880859375" w:firstLine="5.43998718261718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personnes ayant un niveau d'éducation moins élevé et les cas  indemnisables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Des études internationales ont également  rapporté des résultats similaires ; Gunning et al. ont rapporté que,  après un an de suivi, les scores PCS et MCS étaient respectivement  de 45,6 et 47,2 pour leurs 1 870 patients néerlandais victimes de  traumatismes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Ils ont constaté que l'âge, l'ISS, la durée  d'hospitalisation, la durée du séjour en soins intensifs et les blessures  graves à la tête et aux extrémités étaient associés à de moins bons  résultats à 12 mois. D'autres facteurs spécifiques aux patients ou  prédicteurs associés à un rétablissement prolongé après un  traumatisme comprennent le sexe féminin, les admissions en soins  intensifs, le type de blessure et le niveau d'éducation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Haider et al. ont rendu compte de 1 736 patients traumatisés aux  États-Unis dont la santé physique et mentale était considérablement  diminuée à 12 mois par rapport à la population générale américaine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Ils ont signalé que des facteurs indépendants associés aux  résultats à long terme, tels que l'âge avancé, le sexe féminin, le faible  niveau d'éducation, le nombre de comorbidités et la durée du séjour,  étaient significativement associés à une récupération moins bonne.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6.10554695129395" w:lineRule="auto"/>
        <w:ind w:left="0" w:right="146.1083984375" w:firstLine="229.7399139404297"/>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Les implications du fardeau physique et psychologique à long terme  des blessures sont actuellement décrites dans la littérature comme un  précurseur du développement de maladies physiques chroniques. Les  maladies chroniques sont la principale cause de mortalité, étant  responsables de 68 % de tous les décès dans le monde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liens  entre les traumatismes physiques et psychologiques et les maladies  physiques chroniques sont multiples, les conséquences chroniques sur  la santé étant plus fréquentes chez les personnes gravement blessées,  dont la qualité de vie liée à la santé est réduite, qui sont physiquement  inactives en raison de douleurs persistantes et d'un handicap, qui ont  des habitudes sociales malsaines et des comportements à haut risque,  et/ou qui souffrent d'inflammation chronique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13-17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Bien  que nous ne soyons pas en mesure de décrire les habitudes sociales  malsaines, nous avons constaté, lors du suivi de nos participants à 12  mois, que plus de 70 % d'entre eux avaient une QVLS bien inférieure  à celle de la population générale australienne, les patients  polytraumatisés présentant une diminution plus importante de leurs  capacités physiques au fil du temps. Cela correspond à l'idée selon  laquelle le polytraumatisme est une maladie systémique.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634765625" w:line="236.10554695129395" w:lineRule="auto"/>
        <w:ind w:left="0" w:right="146.1077880859375" w:firstLine="7.3099517822265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(52) au-delà des blessures anatomiques réelles décrites par le score de  gravité des blessures. Gelaw et al. ont rapporté que 11 % des patients  présentant des blessures orthopédiques graves ont souffert d'un  fardeau important lié à l'apparition de nouvelles affections physiques  chroniques pendant une période pouvant aller jusqu'à 5 ans, le cancer,  les maladies cardiovasculaires et l'hypertension étant les trois  affections nouvellement apparues les plus courantes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tandis que  Stewart et al. ont constaté que la prévalence de l'hypertension, des  maladies coronariennes, du diabète sucré et des maladies rénales  chroniques chez les militaires blessés en service était respectivement  de 14,3 %, 1,4 %, 2,1 % et 1,4 % pendant leur période de suivi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L'âge est également un facteur important à prendre en compte en  matière de santé physique chronique et chez les personnes âgées, car  l'effet combiné des blessures graves, de la réduction de la qualité de  vie liée à la santé et des comorbidités préexistantes augmenterait le  fardeau à long terme des blessures en raison de la multimorbidité, du  recours fréquent aux soins de santé et de la complexité de la prise en  charge et du rétablissement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2841796875" w:line="236.1055612564087" w:lineRule="auto"/>
        <w:ind w:left="1.3599395751953125" w:right="144.168701171875" w:firstLine="235.69000244140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Sur les 195 patients étudiés, un peu moins d'un tiers des  répondants étaient âgés de plus de 60 ans, 82 % d'entre eux ayant un  indice de comorbidité de Charlson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0547542572021" w:lineRule="auto"/>
        <w:ind w:left="142.9998779296875" w:right="1.23779296875" w:firstLine="7.3101806640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(CCI) supérieur à 2. À mesure que la population australienne vieillit,  l'incidence des chutes graves augmente et, en raison de leur fragilité,  de leurs comorbidités multiples, de la diminution de leurs réserves  physiologiques et du stress lié aux traumatismes et à l'hospitalisation,  cela entraîne une prolongation de la durée d'hospitalisation, une  admission en soins intensifs et une morbidité importante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38-40</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Ces facteurs mettent en évidence les groupes « à risque » de résultats  moins bons à 12 mois qui pourraient potentiellement bénéficier d'une  approche interdisciplinaire sur mesure dans la gestion des besoins  complexes ayant un impact sur leur processus de rétablissement après  un traumatisme.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6.33216857910156" w:lineRule="auto"/>
        <w:ind w:left="163.45947265625" w:right="0.08056640625" w:firstLine="0"/>
        <w:jc w:val="righ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19.6600341796875" w:right="960.419921875" w:header="0" w:footer="720"/>
          <w:cols w:equalWidth="0" w:num="2">
            <w:col w:space="0" w:w="4960"/>
            <w:col w:space="0" w:w="496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Il a souvent été rapporté que l'indemnisation pour préjudice  corporel avait une incidence sur le rétablissement et les résultats à  long terme des patients traumatisés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Des niveaux  élevés de stress, d'anxiété, de dépression, une baisse du taux de retour  au travail et des temps de rétablissement plus longs ont été associés au  recours à l'indemnisation après un préjudice corporel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Dans  cette cohorte, le statut indemnisable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&lt; 0,001) a eu une interaction  négative avec le temps à 12 mois par rapport à la valeur de référence,  tant pour le PCS moyen (− 7,17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Gungsuh" w:cs="Gungsuh" w:eastAsia="Gungsuh" w:hAnsi="Gungsuh"/>
          <w:b w:val="0"/>
          <w:bCs w:val="0"/>
          <w:i w:val="0"/>
          <w:iCs w:val="0"/>
          <w:smallCaps w:val="0"/>
          <w:strike w:val="0"/>
          <w:color w:val="000000"/>
          <w:sz w:val="17"/>
          <w:szCs w:val="17"/>
          <w:u w:val="none"/>
          <w:shd w:fill="auto" w:val="clear"/>
          <w:vertAlign w:val="baseline"/>
          <w:rtl w:val="0"/>
        </w:rPr>
        <w:t xml:space="preserve">&lt; 0,001) que pour le MCS (− 10,15 ; </w:t>
      </w:r>
      <w:r w:rsidDel="00000000" w:rsidR="00000000" w:rsidRPr="00000000">
        <w:rPr>
          <w:rFonts w:ascii="Times New Roman" w:cs="Times New Roman" w:eastAsia="Times New Roman" w:hAnsi="Times New Roman"/>
          <w:b w:val="0"/>
          <w:bCs w:val="0"/>
          <w:i w:val="1"/>
          <w:iCs w:val="1"/>
          <w:smallCaps w:val="0"/>
          <w:strike w:val="0"/>
          <w:color w:val="000000"/>
          <w:sz w:val="17"/>
          <w:szCs w:val="17"/>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&lt; 0,001), la santé mentale étant légèrement moins bonne. Le  NSW CTP, qui est principalement un système fondé sur la  responsabilité, est un processus complexe caractérisé par une mauvaise  communication, des retards dans le règlement des demandes  d'indemnisation, une paperasserie excessive et des litiges sur la  responsabilité qui causent un stress extrême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Ces résultats  apportent des informations supplémentaires sur le fardeau permanent  des blessures et la nécessité d'une meilleure planification des services  après la sortie des soins aigus afin de permettre un retour rapide à un  bien-être optimal. La force de cette étude réside dans sa conception  prospective longitudinale et dans la mesure des données  démographiques et des données relatives aux blessures des  répondants et des non-répondants. Comme dans d'autres études, les  non-répondants étaient plus jeunes, présentaient beaucoup moins de  comorbidités, avaient un niveau d'éducation plus faible, étaient sans  emploi avant leur blessure et avaient été admis avec un score GCS  initial plus faible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Gabbe et al. ont décrit les  participants perdus de vue comme étant plus jeunes, mais moins  gravement blessés et plus susceptibles d'avoir été blessés à la suite  d'une automutilation ou d'une agression, avec une prévalence plus  élevée de troubles mentaux, de toxicomanie et d'alcoolisme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Dans cette cohorte, aucune différence statistique n'a été observée en  ce qui concerne les caractéristiques des blessures ou des hôpitaux,  telles que l'ISS, l'AIS, la gravité des blessures à la tête, le mécanisme  des blessures, la durée d'hospitalisation et la durée du séjour en soins  intensifs, ce qui suggère des similitudes entre les répondants et les  non-répondants en ce qui concerne le type de blessure, la gravité, le  mécanisme des blessures et la durée du séjour. Les antécédents de  santé mentale, de toxicomanie et d'alcoolisme n'ont pas été recueillis  dans le cadre de cette étude. Un faible niveau d'éducation et le  chômage avant la blessure ont été décrits comme des facteurs  pronostiques d'une détérioration de l'état de santé après la blessure, en  raison de l'incapacité des patients à s'adapter aux facteurs de stress  associés à une blessure traumatique et à accéder à un système de  santé complexe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Les patients courent le risque de  souffrir de limitations fonctionnelles dans leurs activités  quotidiennes, d'un déclin psychologique et de douleurs chroniques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45</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Halvachizadeh et al. ont décrit les résultats psychiatriques à long  terme 20 ans après un polytraumatisme et ont constaté que plus de 50  % des patients présentaient des symptômes indiquant une dépression  clinique.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599578857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Résultats fonctionnels à long terme dans les cas de polytraumatismes : une approche fondamentalement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4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1449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9930419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nouvelle est nécessaire dans...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99609375" w:line="240" w:lineRule="auto"/>
        <w:ind w:left="19.87998962402343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Tableau 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Résumé descriptif des variables associées aux résultats en matière de fonctionnement physique et mental au fil du temps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80224609375" w:line="208.2716989517212" w:lineRule="auto"/>
        <w:ind w:left="3.599853515625" w:right="1374.150390625" w:hanging="3.599853515625"/>
        <w:jc w:val="left"/>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Moyenne PCS  (écart-type)</w:t>
      </w:r>
      <w:r w:rsidDel="00000000" w:rsidR="00000000" w:rsidRPr="00000000">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716989517212" w:lineRule="auto"/>
        <w:ind w:left="1303.599853515625" w:right="24.200439453125" w:hanging="3.599853515625"/>
        <w:jc w:val="left"/>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Pr>
        <w:sectPr>
          <w:type w:val="continuous"/>
          <w:pgSz w:h="15820" w:w="11900" w:orient="portrait"/>
          <w:pgMar w:bottom="1320.5398559570312" w:top="368.699951171875" w:left="4166.549987792969" w:right="3197.650146484375" w:header="0" w:footer="720"/>
          <w:cols w:equalWidth="0" w:num="2">
            <w:col w:space="0" w:w="2280"/>
            <w:col w:space="0" w:w="2280"/>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Moyenne MCS  (écart-type)</w:t>
      </w:r>
      <w:r w:rsidDel="00000000" w:rsidR="00000000" w:rsidRPr="00000000">
        <w:rPr>
          <w:rFonts w:ascii="Times New Roman" w:cs="Times New Roman" w:eastAsia="Times New Roman" w:hAnsi="Times New Roman"/>
          <w:b w:val="0"/>
          <w:bCs w:val="0"/>
          <w:i w:val="0"/>
          <w:iCs w:val="0"/>
          <w:smallCaps w:val="0"/>
          <w:strike w:val="0"/>
          <w:color w:val="000000"/>
          <w:sz w:val="15"/>
          <w:szCs w:val="15"/>
          <w:u w:val="singl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30859375" w:line="240" w:lineRule="auto"/>
        <w:ind w:left="25.8799743652343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Variable Niveau Référence 6 mois 12 mois Référence 6 mois 12 mois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04296875" w:line="276.52939796447754" w:lineRule="auto"/>
        <w:ind w:left="29.679946899414062" w:right="297.97119140625"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Catégorie d'âge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60 ans et plus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48,6 (12,2) 33,7 (11,2) 37,2 (11,5) 52,7 (12,3) 44,5 (16,9) 47,6 (14,2) </w:t>
      </w:r>
      <w:r w:rsidDel="00000000" w:rsidR="00000000" w:rsidRPr="00000000">
        <w:rPr>
          <w:rFonts w:ascii="Times New Roman" w:cs="Times New Roman" w:eastAsia="Times New Roman" w:hAnsi="Times New Roman"/>
          <w:b w:val="0"/>
          <w:bCs w:val="0"/>
          <w:i w:val="0"/>
          <w:iCs w:val="0"/>
          <w:smallCaps w:val="0"/>
          <w:strike w:val="0"/>
          <w:color w:val="000000"/>
          <w:sz w:val="15.3704252243042"/>
          <w:szCs w:val="15.3704252243042"/>
          <w:u w:val="none"/>
          <w:shd w:fill="auto" w:val="clear"/>
          <w:vertAlign w:val="baseline"/>
          <w:rtl w:val="0"/>
        </w:rPr>
        <w:t xml:space="preserve">&lt; 60 ans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54,4 (8,2) 38,0 (10,9) 41,4 (11,0) 50,8 (11,6) 43,4 (15,1) 44,8 (14,7) Sexe Femme 51,9 (9,9) 34,9 (10,5) 40,5 (11,8) 51,6 (11,6) 41,7 (15,6) 44,0 (14,6) Hommes 53,2 (9,7) 36,9 (11,4) 39,6 (11,2) 51,3 (11,9) 44,5 (15,7) 46,5 (14,5) Éducation Université 53,8 (7,9) 38,6 (12,0) 40,2 (12,5) 51,7 (9,1) 41,5 (17,3) 44,1 (15,2) Sans diplôme universitaire52,7 (10,0) 36,0 (11,0) 39,8 (11,2) 51,3 (12,2) 44,2 (15,4) 46,2 (14,4) Emploi Temps plein/temps partiel 54,1 (9,1) 37,1 (11,3) 40,3 (10,8) 52,1 (11,4) 44,2 (15,2) 46,6 (13,6) Sans emploi 50,7 (10,3) 35,4 (11,1) 39,0 (12,2) 50,3 (12,4) 43,2 (16,4) 44,6 (15,8) CCI 0 55,0 (8,4) 39,9 (11,0) 43,3 (10,5) 50,8 (11,8) 45,2 (13,6) 46,4 (14,2) 1 54,0 (6,2) 34,8 (10,1) 39,7 (11,3) 52,1 (10,7) 40,9 (16,5) 42,9 (14,1) 2 </w:t>
      </w:r>
      <w:r w:rsidDel="00000000" w:rsidR="00000000" w:rsidRPr="00000000">
        <w:rPr>
          <w:rFonts w:ascii="Times New Roman" w:cs="Times New Roman" w:eastAsia="Times New Roman" w:hAnsi="Times New Roman"/>
          <w:b w:val="0"/>
          <w:bCs w:val="0"/>
          <w:i w:val="0"/>
          <w:iCs w:val="0"/>
          <w:smallCaps w:val="0"/>
          <w:strike w:val="0"/>
          <w:color w:val="000000"/>
          <w:sz w:val="16.085708618164062"/>
          <w:szCs w:val="16.08570861816406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48,4 (11,7) 33,3 (10,9) 36,3 (11,3) 52,0 (12,3) 43,3 (17,4) 46,4 (15,1) Catégorie ISS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&gt; 15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53,1 (9,4) 36,6 (10,7) 39,5 (11,4) 51,3 (12,0) 42,8 (15,2) 45,3 (14,6) </w:t>
      </w:r>
      <w:r w:rsidDel="00000000" w:rsidR="00000000" w:rsidRPr="00000000">
        <w:rPr>
          <w:rFonts w:ascii="Times New Roman" w:cs="Times New Roman" w:eastAsia="Times New Roman" w:hAnsi="Times New Roman"/>
          <w:b w:val="0"/>
          <w:bCs w:val="0"/>
          <w:i w:val="0"/>
          <w:iCs w:val="0"/>
          <w:smallCaps w:val="0"/>
          <w:strike w:val="0"/>
          <w:color w:val="000000"/>
          <w:sz w:val="15.732131958007812"/>
          <w:szCs w:val="15.732131958007812"/>
          <w:u w:val="none"/>
          <w:shd w:fill="auto" w:val="clear"/>
          <w:vertAlign w:val="baseline"/>
          <w:rtl w:val="0"/>
        </w:rPr>
        <w:t xml:space="preserve">&lt; 15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51,0 (11,6) 34,5 (15,4) 42,1 (11,2) 51,4 (10,6) 52,8 (18,0) 49,6 (14,0) GCS initial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 13 (mineur)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52,9 (9,5) 36,7 (11,5) 40,6 (11,5) 51,6 (11,6) 45,1 (15,4) 47,6 (13,6) 9–12 (modéré) 51,8 (7,7) 34,1 (8,5) 34,0 (10,5) 49,3 (13,8) 33,8 (16,1) 42,1 (14,2) </w:t>
      </w:r>
      <w:r w:rsidDel="00000000" w:rsidR="00000000" w:rsidRPr="00000000">
        <w:rPr>
          <w:rFonts w:ascii="Gungsuh" w:cs="Gungsuh" w:eastAsia="Gungsuh" w:hAnsi="Gungsuh"/>
          <w:b w:val="0"/>
          <w:bCs w:val="0"/>
          <w:i w:val="0"/>
          <w:iCs w:val="0"/>
          <w:smallCaps w:val="0"/>
          <w:strike w:val="0"/>
          <w:color w:val="000000"/>
          <w:sz w:val="15.3704252243042"/>
          <w:szCs w:val="15.3704252243042"/>
          <w:u w:val="none"/>
          <w:shd w:fill="auto" w:val="clear"/>
          <w:vertAlign w:val="baseline"/>
          <w:rtl w:val="0"/>
        </w:rPr>
        <w:t xml:space="preserve">≤ 8 (grave)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52,5 (12,0) 35,3 (10,0) 36,3 (9,9) 50,9 (12,3) 39,1 (16,1) 35,9 (18,0) Polytraumatisme Oui 52,7 (9,5) 36,3 (10,8) 39,2 (11,3) 50,9 (12,1) 43,3 (15,7) 45,3 (15,0) Non 53,3 (11,1) 36,8 (14,2) 43,7 (10,9) 53,8 (9,6) 47,2 (15,7) 49,5 (10,8) Indemnisation Oui 52,9 (8,9) 31,9 (9,2) 34,8 (9,0) 53,8 (8,6) 39,8 (16,7) 40,5 (15,9) Non 52,8 (10,1) 38,6 (11,5) 42,4 (11,6) 50,2 (12,8) 45,7 (14,9) 48,6 (13,1) Zone de la blessure Tête/cou 53,4 (9,3) 36,2 (10,7) 38,9 (11,2) 50,8 (11,0) 41,6 (16,4) 43,8 (15,1) Visage 55,6 (6,1) 36,8 (13,1) 39,8 (10,9) 55,6 (6,1) 36,8 (13,1) 39,8 (10,9) Poitrine 52,0 (10,2) 36,2 (11,1) 38,3 (11,4) 50,3 (12,5) 41,9 (15,8) 44,9 (15,1) Abdomen 52,4 (10,4) 36,5 (11,2) 39,1 (12,1) 50,9 (13,4) 42,9 (16,6) 46,4 (14,9) Extrémités 52,9 (9,5) 35,3 (11,1) 39,2 (11,2) 51,1 (11,7) 44,1 (15,5) 46,0 (14,3) Externe 52,6 (9,4) 36,0 (10,5) 39,4 (11,6) 50,6 (12,0) 43,0 (15,3) 45,5 (13,7) Quartile IRSAD 4 (élevé) 57,2 (4,7) 38,2 (8,9) 48,0 (16,1) 51,3 (8,8) 44,1 (10,0) 47,8 (13,9) 3 56,2 (4,6) 39,0 (12,4) 40,8 (12,8) 53,2 (7,4) 45,3 (11,8) 47,6 (8,9) 2 51,6 (11,1) 35,9 (11,2) 38,8 (11,3) 50,5 (13,5) 43,8 (16,7) 45,9 (15,9) 1 (faible) 53,2 (8,6) 35,9 (10,7) 40,9 (10,4) 52,4 (9,9) 42,9 (16,1) 44,9 (14,1) ASGS Grandes villes 53,3 (8,7) 36,2 (11,8) 39,3 (11,9) 51,4 (10,5) 43,2 (15,2) 45,6 (14,4) Région intérieure 52,7 (9,9) 37,1 (10,9) 40,1 (10,9) 51,7 (12,8) 44,9 (15,6) 46,8 (14,2) Région périphérique 49,9 (14,1) 32,8 (8,0) 42,1 (10,7) 49,8 (14,6) 40,6 (15,7) 41,5 (17,8)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23193359375" w:line="240" w:lineRule="auto"/>
        <w:ind w:left="21.07994079589843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Résumé descriptif des sous-groupes définis par des variables associées aux résultats fonctionnels physiques et mentaux au fil du temps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592041015625" w:line="236.10551834106445" w:lineRule="auto"/>
        <w:ind w:left="0" w:right="147.1282958984375" w:firstLine="6.62994384765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et l'anxiété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La gravité des blessures n'était pas un facteur  prédictif des séquelles psychiatriques, mais des facteurs non liés aux  blessures, tels que les traitements psychiatriques antérieurs aux  blessures ou les troubles psychiatriques supplémentaires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On  ignore si ces patients ont un état de santé mauvais, bon ou équivalent  à celui des patients qui ont participé à l'étude après leur blessure. Des  stratégies sont nécessaires pour remédier au manque de disponibilité  des non-répondants et identifier les facteurs prédictifs ou les sources  de non-adhésion, qu'il s'agisse de raisons financières ou de prestation  de services. D'autres études sont nécessaires pour extrapoler ces  résultats et comparer les non-répondants à d'autres zones  géographiques.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0779647827148" w:lineRule="auto"/>
        <w:ind w:left="144.3597412109375" w:right="1.18896484375" w:firstLine="223.94042968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Notre étude présente certaines limites. Tout d'abord, le taux de  réponse au suivi à long terme de cette étude prospective était de 64  %, ce qui correspond aux résultats que nous avons trouvés dans la  littérature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Il y avait un biais de réponse, les non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845703125" w:line="237.49382972717285" w:lineRule="auto"/>
        <w:ind w:left="144.3597412109375" w:right="1.239013671875" w:firstLine="0"/>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5820" w:w="11900" w:orient="portrait"/>
          <w:pgMar w:bottom="1320.5398559570312" w:top="368.699951171875" w:left="1019.6600341796875" w:right="961.5283203125" w:header="0" w:footer="720"/>
          <w:cols w:equalWidth="0" w:num="2">
            <w:col w:space="0" w:w="4960"/>
            <w:col w:space="0" w:w="496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répondants étant significativement plus jeunes, plus susceptibles  d'avoir un GCS initial faible, un niveau d'éducation moins élevé et  d'être sans emploi que les répondants. L'âge était probablement la  raison de la perte de suivi, car ces jeunes patients en bonne santé  étaient plus susceptibles de s'être rétablis et d'avoir repris leurs  activités quotidiennes, et donc moins susceptibles de répondre. Le  groupe d'âge plus jeune, la prévalence plus élevée de troubles  mentaux ou l'excellent rétablissement après la blessure peuvent être  des raisons pour lesquelles les participants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990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1450S. Meakes et 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982421875" w:line="236.10540390014648" w:lineRule="auto"/>
        <w:ind w:left="0" w:right="147.0989990234375" w:firstLine="1.35993957519531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ne font pas de suivi car ils ne veulent plus se donner la peine de passer  une autre évaluation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Notre cohorte de non-répondants présentait  des similitudes avec la littérature en termes de données  démographiques et de faible taux de suivi, ce qui peut influencer les  résultats des études sur les résultats fonctionnels en raison d'une  représentation incomplète du groupe. À l'inverse, les répondeurs  étaient plus âgés et plus susceptibles d'être à la retraite, donc plus  susceptibles d'être disponibles pour répondre aux appels  téléphoniques de suivi ou remplir les questionnaires. La perte de  données sur les patients suivis n'est pas rare dans la littérature et il est  peu probable qu'elle soit aléatoire, car les personnes peuvent ne pas  répondre pour de multiples raisons différentes.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89453125" w:line="236.10551834106445" w:lineRule="auto"/>
        <w:ind w:left="0" w:right="145.0872802734375" w:firstLine="229.7399139404297"/>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Le deuxième point concerne l'utilisation de l'outil générique SF36  pour évaluer la QVLS chez les populations traumatisées. Hoffman et  al. affirment que, bien que le SF36 soit l'outil générique le plus  largement utilisé pour évaluer les résultats en matière de QVLS chez  les populations traumatisées, il ne capture qu'une petite partie des  résultats de santé non spécifiques aux traumatismes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47</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ce qui  conduit à une incompréhension de l'impact des blessures sur  différentes populations et à l'incapacité d'identifier les prédicteurs  modifiables du rétablissement à long terme. Cependant, l'utilisation  d'une mesure standardisée telle que le SF36 permet de quantifier  l'impact des blessures graves d'une manière comparable à celle  d'autres maladies chroniques. Cela permet non seulement de mener  des recherches plus complètes et comparables, mais aussi de mettre  en évidence le poids social des blessures et de contribuer à la  reconnaissance du polytraumatisme comme une maladie dans notre  société. Le troisième élément concerne la structure et la durée du  suivi. Cette étude ne suit les participants que pendant 12 mois après  leur blessure, par le biais d'un suivi téléphonique. Notre centre de  traumatologie assure un suivi par de nombreuses spécialités jusqu'à  ce que celui-ci soit médicalement nécessaire et ne puisse être effectué  par les médecins généralistes des patients. Nous pensons qu'il est utile  de séparer l'évaluation clinique et l'évaluation fonctionnelle liée au  suivi afin d'éviter tout biais potentiel infligé aux participants. Un suivi  et une surveillance plus longs de la prévalence accrue des maladies  physiques chroniques sont nécessaires pour caractériser la qualité de  la survie après un traumatisme et les résultats fonctionnels au fil du  temps.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05029296875" w:line="236.57253742218018" w:lineRule="auto"/>
        <w:ind w:left="227.16995239257812" w:right="107.13134765625" w:firstLine="6.28997802734375"/>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Cette étude a démontré la complexité du rétablissement après une  blessure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9365234375" w:line="236.10551834106445" w:lineRule="auto"/>
        <w:ind w:left="0" w:right="145.2191162109375" w:firstLine="6.6299438476562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et les défis liés à la communication des facteurs prédictifs modifiables  de la guérison. Bien que des améliorations du MCS et du PCS aient  été observées au fil du temps dans cette cohorte, la proportion de  patients présentant toujours une QVLS inférieure à celle de la  population générale australienne à 12 mois était supérieure à 70 %  (tableau </w:t>
      </w:r>
      <w:r w:rsidDel="00000000" w:rsidR="00000000" w:rsidRPr="00000000">
        <w:rPr>
          <w:rFonts w:ascii="Times New Roman" w:cs="Times New Roman" w:eastAsia="Times New Roman" w:hAnsi="Times New Roman"/>
          <w:b w:val="0"/>
          <w:bCs w:val="0"/>
          <w:i w:val="0"/>
          <w:iCs w:val="0"/>
          <w:smallCaps w:val="0"/>
          <w:strike w:val="0"/>
          <w:color w:val="0000ff"/>
          <w:sz w:val="17"/>
          <w:szCs w:val="17"/>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Cette réduction significative des capacités physiques et  psychologiques des patients traumatisés 12 mois après leur blessure  correspond à la définition d'un état de maladie chronique, qui ne  pouvait être prédit que par des facteurs non modifiables. La gravité  des blessures, le polytraumatisme, un faible score GCS à l'admission,  l'admission en soins intensifs, la durée du séjour à l'hôpital et le statut  indemnisable sont des prédicteurs non modifiables, ce qui fait de la  prévention primaire la seule intervention permettant d'améliorer ces  résultats. Une approche fondamentalement différente est nécessaire  pour identifier les non-répondeurs et les prédicteurs modifiables des  résultats à long terme du polytraumatisme.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0533237457275" w:lineRule="auto"/>
        <w:ind w:left="142.9998779296875" w:right="4.12841796875" w:firstLine="3.22998046875"/>
        <w:jc w:val="both"/>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Des recherches supplémentaires et un consensus sont nécessaires pour  identifier des outils d'évaluation des résultats de la récupération  fonctionnelle afin de cibler spécifiquement les facteurs  potentiellement modifiables et d'élaborer des stratégies plus efficaces  pour prévenir les maladies chroniques et améliorer les résultats de  santé des patients polytraumatisés.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6220703125" w:line="205.4624891281128" w:lineRule="auto"/>
        <w:ind w:left="149.7900390625" w:right="115" w:firstLine="3.5998535156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Informations suppl</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é</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mentaires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La version en ligne contient des informations  supplémentaires disponibles à l'adresse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https://doi.org/10.1007/s00068-023-02430- 6</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82958984375" w:line="204.52393054962158" w:lineRule="auto"/>
        <w:ind w:left="144.2401123046875" w:right="5.10986328125" w:firstLine="4.0496826171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Contribution des auteurs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Tous les auteurs dont les noms apparaissent sur la  soumission : (1) ont apporté une contribution substantielle à la conception ou à  la mise en place du travail ; ou à l'acquisition, l'analyse ou l'interprétation des  données ; ou à la création d'un nouveau logiciel utilisé dans le travail ; (2) ont  rédigé le travail ou l'ont révisé de manière critique pour en vérifier le contenu  intellectuel important ; (3) ont approuvé la version à publier ; et (4) acceptent  d'être responsables de tous les aspects du travail en veillant à ce que les  questions relatives à l'exactitude ou à l'intégrité de toute partie du travail soient  correctement examinées et résolues.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4619140625" w:line="202.65192031860352" w:lineRule="auto"/>
        <w:ind w:left="148.7396240234375" w:right="359.110107421875" w:firstLine="4.650268554687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Financement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Financement en libre accès rendu possible et organisé par le  CAUL et ses institutions membres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22314453125" w:line="240" w:lineRule="auto"/>
        <w:ind w:left="155.49987792968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Déclarations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908935546875" w:line="202.65192031860352" w:lineRule="auto"/>
        <w:ind w:left="144.2401123046875" w:right="307.81005859375" w:firstLine="1.9494628906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Approbation </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é</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thique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L'étude a été approuvée par le Comité d'éthique de la  recherche humaine de Hunter New England (approbation 08/02/20/5.02).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905029296875" w:line="202.65262126922607" w:lineRule="auto"/>
        <w:ind w:left="147.8399658203125" w:right="30.760498046875" w:firstLine="0.44982910156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Consentement </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à </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participer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Le consentement éclairé a été obtenu auprès de tous  les participants individuels inclus dans l'étude.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905029296875" w:line="240" w:lineRule="auto"/>
        <w:ind w:left="148.2897949218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Conflits d'int</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é</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tl w:val="0"/>
        </w:rPr>
        <w:t xml:space="preserve">ê</w:t>
      </w: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ts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Les auteurs déclarent n'avoir aucun conflit d'intérêts.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404296875" w:line="204.71441745758057" w:lineRule="auto"/>
        <w:ind w:left="144.2401123046875" w:right="6.15966796875" w:firstLine="1.9494628906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Accès libre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Cet article est sous licence Creative Commons Attribution 4.0  International, qui autorise l'utilisation, le partage, l'adaptation, la distribution et  la reproduction sur tout support ou format, à condition de citer correctement le  ou les auteurs originaux et la source, de fournir un lien vers la licence Creative  Commons et d'indiquer si des modifications ont été apportées. Les images ou  autres éléments provenant de tiers figurant dans cet article sont inclus dans la  licence Creative Commons de l'article, sauf indication contraire dans la  mention de crédit relative à ces éléments. Si le matériel n'est pas inclus dans la  licence Creative Commons de l'article et que l'utilisation que vous envisagez  n'est pas autorisée par la réglementation légale ou dépasse l'utilisation  autorisée, vous devrez obtenir l'autorisation directement auprès du détenteur  des droits d'auteur. Pour consulter une copie de cette licence, rendez-vous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sur  http://creativecommons.org/licenses/by/4.0/</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04345703125" w:line="240" w:lineRule="auto"/>
        <w:ind w:left="157.19970703125"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Références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982177734375" w:line="205.09573459625244" w:lineRule="auto"/>
        <w:ind w:left="483.03955078125" w:right="9.208984375" w:hanging="246.809692382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Wihlke G, Strommer L, Troeng T, Brattstrom O. Suivi à long terme des  patients traités pour des blessures traumatiques en ce qui concerne les  fonctions physiques et psychologiques et la qualité de vie liée à la santé.  Eur J Trauma Emerg Surg. 2019;47:129–35.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22509765625" w:line="205.09573459625244" w:lineRule="auto"/>
        <w:ind w:left="484.2401123046875" w:right="11.160888671875" w:hanging="264.3304443359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Frydrych L, Keeney-Bonthrone T, Gwinn E, Wakam G, Anderson M,  Delano M. Mortalité à court terme par rapport à la mortalité à long terme :  revue systématique. J Trauma Acute Care Surg. 2019;87(4):990–7.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 (La mortalité à court terme et à long terme après une chirurgie  thoracique d'urgence : une revue systématique</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org/10.1097/TA.0000000000002430</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5302734375" w:line="205.09573459625244" w:lineRule="auto"/>
        <w:ind w:left="485.73974609375" w:right="5.31005859375" w:hanging="262.4298095703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Lyanzhiang A, Chiong Y, Nadkarni N, Cheng J, Chiu M et Wong T.  Facteurs prédictifs de l'évolution fonctionnelle six mois et douze mois  après une blessure grave : étude de cohorte rétrospective. World J Emerg  Surg. 2018;57(13).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https://doi.org/10.1186/ s13017-018-0217-y</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38720703125" w:line="216.579909324646" w:lineRule="auto"/>
        <w:ind w:left="485.889892578125" w:right="12.16064453125" w:hanging="264.8303222656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19.6600341796875" w:right="964.4677734375" w:header="0" w:footer="720"/>
          <w:cols w:equalWidth="0" w:num="2">
            <w:col w:space="0" w:w="4960"/>
            <w:col w:space="0" w:w="496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Kaske S, Lefering R, Trentzsch H, Driessen A, Bouillon B, Maegele M et  Probst C. Qualité de vie deux ans après une blessure grave : une  évaluation monocentrique. Injury. 2014 ; 455(s100-s105).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599578857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Résultats fonctionnels à long terme dans les cas de polytraumatismes : une approche fondamentalement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4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1451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9930419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nouvelle est nécessaire dans...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078125" w:line="205.09573459625244" w:lineRule="auto"/>
        <w:ind w:left="341.52992248535156" w:right="160.31982421875" w:hanging="263.9398956298828"/>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Gunning A, Van Heijl M, Van Wessem K, Leenen L. Scandinavian Journal  of Trauma. Resus Emer Med. 2017;25:41.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 10.1186/s13049-017-0375-z</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669921875" w:line="205.09552001953125" w:lineRule="auto"/>
        <w:ind w:left="337.32994079589844" w:right="162.0220947265625" w:hanging="256.5899658203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Gabbe B, Simpson P, Harrison J, Lyons R, Ameratunga S, Ponsford J,  Fitzgerald M, Judson R, Collie A, Cameron P. Retour au travail et  résultats fonctionnels après un traumatisme majeur. Ann Surg.  2016;263(4):623–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5800323486328"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https://doi.org/10.1097/SLA.0000000000001564</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52001953125" w:lineRule="auto"/>
        <w:ind w:left="338.9800262451172" w:right="156.1199951171875" w:hanging="263.2600402832031"/>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Zwingmann J, Hagelschuer P, Langenmair E, Bode G, Herget G,  Sudkamp N et Hammer T. Diminution de la qualité de vie liée à la santé  chez les patients polytraumatisés. Suivi à long terme après plus de 5 ans.  Medicine. 2016;95(19).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669921875" w:line="205.09562015533447" w:lineRule="auto"/>
        <w:ind w:left="337.32994079589844" w:right="156.119384765625" w:hanging="257.5299072265625"/>
        <w:jc w:val="both"/>
        <w:rPr>
          <w:rFonts w:ascii="Times New Roman" w:cs="Times New Roman" w:eastAsia="Times New Roman" w:hAnsi="Times New Roman"/>
          <w:b w:val="0"/>
          <w:bCs w:val="0"/>
          <w:i w:val="0"/>
          <w:iCs w:val="0"/>
          <w:smallCaps w:val="0"/>
          <w:strike w:val="0"/>
          <w:color w:val="0000ff"/>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Haider A, Herrera-Escobar J, Al Rafai S, Harlow A, Apoj M, Nehra D,  Kasostakis G, Brasel K, Kaafarani H, Velmahos G et Salim A. Facteurs  associés aux résultats à long terme après une blessure. Résultats de  l'étude de cohorte multicentrique sur les résultats fonctionnels et le  rétablissement après un traumatisme (FORTE). Ann Surg. 2020 ; 271(6) :  1165-1173.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https://doi.org/10.1097/SLA.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82997131347656"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0000000000003101</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97778320312" w:lineRule="auto"/>
        <w:ind w:left="338.3300018310547" w:right="156.0198974609375" w:hanging="261.1000061035156"/>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Aitken L, Macfarlane B, Chaboyer W, Schuetz M, Joyce C. Physi-cal  function and mental health in trauma intensive care patients: a 2-year  cohort study. Crit Care Med. 2016;44(4):734–46.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https://doi.org/10.1097/CCM.0000000000001481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05.0959062576294" w:lineRule="auto"/>
        <w:ind w:left="338.62998962402344" w:right="158.1182861328125" w:hanging="322.3100280761719"/>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Rainer T, Yeung J, Cheung S, Yuen Y, Poon W, Ho H, Kam C,  Catermole G, Chang A, So F, Graham C. Évaluation de la qualité de vie  et des résultats fonctionnels chez les patients victimes de traumatismes  modérés et graves : une étude de cohorte prospective multicentrique.  Injury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08006286621094"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.2014;45:902–909.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73459625244" w:lineRule="auto"/>
        <w:ind w:left="341.9300079345703" w:right="156.16943359375" w:hanging="325.61004638671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Dinh M, Cornwall K, Bein K, Gabbe B, Tomes B et Ivers R. État de  santé et retour au travail chez les patients traumatisés 3 et 6 mois après  leur sortie de l'hôpital : une étude menée dans un centre australien  spécialisé dans les traumatismes graves. European Journal of Trauma and  emergency Surgery. 2016;42:483–490.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https://doi.org/10.1007/s00068- 015-0558-0</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2861328125" w:line="205.09552001953125" w:lineRule="auto"/>
        <w:ind w:left="338.9299774169922" w:right="156.1688232421875" w:hanging="322.6100158691406"/>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Kruithof N, Polinder S, De Munter L, Van de Ree C, Lansink K et De  Jongh M. État de santé et conséquences psychologiques après un  traumatisme : une étude prospective multicentrique de cohorte. PloS One.  2020 ; 15(4).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https://doi.org/10.1371/journal.pone.0231649</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73459625244" w:lineRule="auto"/>
        <w:ind w:left="326.03004455566406" w:right="158.1195068359375" w:hanging="309.710083007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Gelaw A, Gabbe B, Ekegren C. Problèmes de santé physique chroniques  jusqu'à cinq ans après une blessure orthopédique grave. Injury. 2022.  53:1459 -1468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75537109375" w:line="205.09552001953125" w:lineRule="auto"/>
        <w:ind w:left="341.78001403808594" w:right="156.1199951171875" w:hanging="325.4600524902344"/>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Gonzalez-Chica D, Hill C, Gill T, Hay P, Haag D, Stocks N. Maladie  individuelle ou regroupement de problèmes de santé ? Association entre  les maladies chroniques multiples et la qualité de vie liée à la santé chez  les adultes. Health ad Qual Outcomes. 2017;15:244.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2861328125" w:line="205.09552001953125" w:lineRule="auto"/>
        <w:ind w:left="338.62998962402344" w:right="160.172119140625" w:hanging="322.3100280761719"/>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Stewart IJ, Sosnov JA, Howard JT, Orman JA, Fang R, Morrow BD, et al.  Analyse rétrospective des résultats à long terme après une blessure au  combat : un coût caché de la guerre. Circulation. 2015 ; 132(22) : 2126- 33.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75537109375" w:line="205.09573459625244" w:lineRule="auto"/>
        <w:ind w:left="339.38011169433594" w:right="158.1195068359375" w:hanging="323.0601501464844"/>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Howard J, Stewart I, Kolaja C, Sosnov J, Rull R, Torres I, Janak J,  Walker L, Trone D, Armenta R. L'hypertension chez les anciens  combattants est associée à l'exposition au combat et aux blessures de  guerre. J Hyper- tens. 2020 ; 38 : 1293-301.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22509765625" w:line="205.09573459625244" w:lineRule="auto"/>
        <w:ind w:left="339.98008728027344" w:right="160.02197265625" w:hanging="323.6601257324219"/>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Ekegren C, Braaf S, Ameratunga S, Ponsford J, Nunn A, Cameron P, Lyons  R, Gabbe B. L'adaptation, la motivation personnelle et les services de  soutien sont essentiels à la pratique d'une activité physique trois à cinq ans  après un traumatisme majeur lié à l' : une étude qualitative. J Physiother.  2020;66:188–95.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73459625244" w:lineRule="auto"/>
        <w:ind w:left="337.28004455566406" w:right="160.069580078125" w:hanging="320.960083007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Gelaw A, Gabbe B, Simpson P et Ekegren C. État de santé avant la  blessure des patients victimes d'un traumatisme majeur avec des  blessures orthopédiques. Injury. 2020;51:243–251.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73459625244" w:lineRule="auto"/>
        <w:ind w:left="337.1300506591797" w:right="159.019775390625" w:hanging="320.8100891113281"/>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Murgatroyd D, Harris I, Chen J, Adie S, Mittal R, Cameron I. Facteurs  prédictifs de la recherche d'une compensation financière à la suite d'un  traumatisme lié à un accident de la route : cohorte initiale présentant des  lésions musculo-squelettiques modérées à sévères dues à l' . BMC  Musculoskelet Disord. 2017;18:177.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140625" w:line="205.09573459625244" w:lineRule="auto"/>
        <w:ind w:left="342.5299835205078" w:right="160.169677734375" w:hanging="342.5299835205078"/>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Giummarra M, Murgatroyd D, Tran Y, Adie S, Mittal R, Pons-ford J,  Cameron P, Gabbe B, Harris I et Cameron I. Santé et retour au travail au  cours des deux premières années suivant un accident de la route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111328125" w:line="207.6499843597412" w:lineRule="auto"/>
        <w:ind w:left="142.0001220703125" w:right="11.12060546875" w:firstLine="342.52990722656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comparaison des résultats entre les demandeurs d'indemnisation en Vic toria et en Nouvelle-Galles du Sud, en Australie. Injury. 2020;51:2199–2208.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Gopinath B, Jagnoor J, Kifley A, Dinh M, Craig A et Cameron I.  Facteurs prédictifs de la qualité de vie liée à la santé après une blessure  non catastrophique subie dans un accident de la route. Ann Phys Rehab  Med. 2020;63:280–287.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4287109375" w:line="205.09507656097412" w:lineRule="auto"/>
        <w:ind w:left="484.0802001953125" w:right="14.168701171875" w:hanging="342.08007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Autorité chargée des accidents de la route, gouvernement de Nouvelle-Galles  du Sud : Réformes du régime d'assurance responsabilité civile obligatoire  « Green Slip » de Nouvelle-Galles du Sud. 2013.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1640625" w:line="205.09573459625244" w:lineRule="auto"/>
        <w:ind w:left="480.6298828125" w:right="8.1201171875" w:hanging="338.6297607421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Greenspan, L, McLellan, B. et Greig H. L'échelle abrégée des blessures  et le score de gravité des blessures : un tableau de notation. J Trauma.  Australie 1985 ; 25(1).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669921875" w:line="205.09573459625244" w:lineRule="auto"/>
        <w:ind w:left="480.6298828125" w:right="5.11962890625" w:hanging="338.6297607421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Palmer, C., Gabbe, B. et Cameron, P. Définition des traumatismes  majeurs à l'aide de l'échelle abrégée des blessures de 2008. Injury.  Australie 2016 ; 47(1) : 109-115.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384765625" w:line="205.09573459625244" w:lineRule="auto"/>
        <w:ind w:left="480.6298828125" w:right="11.119384765625" w:hanging="338.6297607421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Ware JE, Kosinski M, Turner-Bowker DM, Gandek B. Comment noter la  version 2 de l'enquête de santé SF-12 (avec un supplément documentant  la version 1). 2002, QualityMetric Incorporated.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52001953125" w:lineRule="auto"/>
        <w:ind w:left="480.3302001953125" w:right="9.06982421875" w:hanging="338.33007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Hawthorne G, Osborne R, Taylor A et Sansoni J. La version 2 du SF 36 :  analyses critiques des pondérations de population, des algorithmes de  notation et des normes de population. Qual Life Res. 2007 ; 16 : 661-673.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https://doi.org/10.1007/s11136-006-9154-4</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30544281006" w:lineRule="auto"/>
        <w:ind w:left="480.3302001953125" w:right="7.120361328125" w:hanging="338.330078125"/>
        <w:jc w:val="left"/>
        <w:rPr>
          <w:rFonts w:ascii="Times New Roman" w:cs="Times New Roman" w:eastAsia="Times New Roman" w:hAnsi="Times New Roman"/>
          <w:b w:val="0"/>
          <w:bCs w:val="0"/>
          <w:i w:val="0"/>
          <w:iCs w:val="0"/>
          <w:smallCaps w:val="0"/>
          <w:strike w:val="0"/>
          <w:color w:val="0000ff"/>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Frieling M, Davis W, Chiang G. Les enquêtes de santé SF-36v2 et SF 12v2 en Nouvelle-Zélande : normes, coefficients de notation et  comparaisons entre pays. Aust New Zealand J Public Health. 2013;37(1).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https://doi.org/10.1111/1753-6405.12006.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5302734375" w:line="205.09573459625244" w:lineRule="auto"/>
        <w:ind w:left="480.3302001953125" w:right="10.11962890625" w:hanging="338.33007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Toien K, Bredal I, Skogstad L, Myhren H et Ekeberg O. Qualité de vie  liée à la santé chez les patients traumatisés. Données issues d'une étude  de suivi d'un an comparées à celles de la population générale.  Scandinavian J Trauma, Resus Emerg Med. 2011 ; 19(22).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https://www.sjtrem. com/content/19/1/22</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767578125" w:line="205.09552001953125" w:lineRule="auto"/>
        <w:ind w:left="480.93017578125" w:right="12.020263671875" w:hanging="338.9300537109375"/>
        <w:jc w:val="both"/>
        <w:rPr>
          <w:rFonts w:ascii="Times New Roman" w:cs="Times New Roman" w:eastAsia="Times New Roman" w:hAnsi="Times New Roman"/>
          <w:b w:val="0"/>
          <w:bCs w:val="0"/>
          <w:i w:val="0"/>
          <w:iCs w:val="0"/>
          <w:smallCaps w:val="0"/>
          <w:strike w:val="0"/>
          <w:color w:val="0000ff"/>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Havermans R, de Jongh M, de Munter L et Lansink K. Analyse  longitudinale de l'état de santé au cours de la première année suivant un  traumatisme chez des patients gravement blessés. Scand J Trauma Resus  Emerg Med. 2020 ; 28(29).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https://doi.org/10.1186/s13049-020-00719-8.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73459625244" w:lineRule="auto"/>
        <w:ind w:left="479.129638671875" w:right="8.018798828125" w:hanging="333.729248046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Geraerds A, Richardson A, Haagsma J, Derrett S et Polinder S. Revue  systématique des études mesurant la qualité de vie liée à la santé des  populations générales victimes de blessures : mise à jour 2010-2018.  Health Qual Life Outcomes. 2020 ; 18(160).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https://doi.org/10.1186/ s12955-020-01412-1</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2861328125" w:line="205.09573459625244" w:lineRule="auto"/>
        <w:ind w:left="481.97998046875" w:right="7.0703125" w:hanging="336.57958984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Gabbe B, Cameron P, Williamson O, Edwards E, Graves S, Richardson  M. La relation entre le statut indemnisable et les résultats à long terme  des patients après un traumatisme orthopédique. Med J Aust. 2007 ;  187(1) : 14-7.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5302734375" w:line="205.09573459625244" w:lineRule="auto"/>
        <w:ind w:left="479.580078125" w:right="13.1201171875" w:hanging="334.1796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Gabbe B, Simpson P, Sutherland A, Wolfe R, Lyons R, Cam-eron P.  Évaluation des moments opportuns pour mesurer le rétablissement après  un traumatisme majeur chez l'adulte. Ann Surg. 2013;257(1):166–72.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 10.1097/SLA.0b013e31825d7422</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5302734375" w:line="205.09573459625244" w:lineRule="auto"/>
        <w:ind w:left="482.5799560546875" w:right="12.0703125" w:hanging="337.1795654296875"/>
        <w:jc w:val="both"/>
        <w:rPr>
          <w:rFonts w:ascii="Times New Roman" w:cs="Times New Roman" w:eastAsia="Times New Roman" w:hAnsi="Times New Roman"/>
          <w:b w:val="0"/>
          <w:bCs w:val="0"/>
          <w:i w:val="0"/>
          <w:iCs w:val="0"/>
          <w:smallCaps w:val="0"/>
          <w:strike w:val="0"/>
          <w:color w:val="0000ff"/>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Gabbe B, Simpson P, Sutherland A, Wolfe R, Fitzgerald M, Judson R et  Cameron P. Amélioration des résultats fonctionnels pour les patients victimes  de traumatismes majeurs dans un système de traumatologie régionalisé et  inclusif. Ann Surg. 2012 ;  255(6).</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https://doi.org/10.1097/SLA.0b013e31824c4b91.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73459625244" w:lineRule="auto"/>
        <w:ind w:left="479.129638671875" w:right="9.171142578125" w:hanging="333.729248046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Alharbi R, Mosley I, Miller C, Hillel S, Lewis V. Factors asso-ciated  with physical, psychological, and functional outcomes in adult trauma  patients following road traffic crash: a scoping lit- erature review. Trans  Res Interdisciplin Perspect. 2019;3.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5302734375" w:line="205.09573459625244" w:lineRule="auto"/>
        <w:ind w:left="481.97998046875" w:right="13.06884765625" w:hanging="336.57958984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Innocenti F, Del Taglia B, Coppa A, Trausi F, Conti A, Zanobetti M et Pinni  R. Qualité de vie après un traumatisme léger à modéré. Injury.  2015;46:902–908.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https://doi.org/10.1016/j.injury.2014.11.033</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73459625244" w:lineRule="auto"/>
        <w:ind w:left="484.3798828125" w:right="12.169189453125" w:hanging="338.97949218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Howard J, Sosnov J, Janak J, Gundlapalli A, Pettey W, Walker L,  Stewart I. Associations entre la gravité initiale des blessures et le  diagnostic de syndrome de stress post-traumatique avec le risque  d'hypertension à long terme après un combat en . Hypertension. 2018 ; 71  : 824-32.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28.0642557144165" w:lineRule="auto"/>
        <w:ind w:left="145.400390625" w:right="9.1699218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23.5700225830078" w:right="961.549072265625" w:header="0" w:footer="720"/>
          <w:cols w:equalWidth="0" w:num="2">
            <w:col w:space="0" w:w="4960"/>
            <w:col w:space="0" w:w="4960"/>
          </w:cols>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37.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Gelaw A, Gabbe B, Braaf S McPhail S et Ekegren C. Problèmes de santé  physique chroniques et facteurs associés chez les personnes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990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20" w:w="11900" w:orient="portrait"/>
          <w:pgMar w:bottom="1320.5398559570312" w:top="368.699951171875" w:left="1001.4700317382812" w:right="807.67822265625" w:header="0" w:footer="720"/>
          <w:cols w:equalWidth="0" w:num="1">
            <w:col w:space="0" w:w="10090.851745605469"/>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1452S. Meakes et 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59423828125" w:line="205.09507656097412" w:lineRule="auto"/>
        <w:ind w:left="342.77992248535156" w:right="217.269287109375" w:firstLine="0.89996337890625"/>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atteintes de blessures orthopédiques graves : revue systématique.  Trauma. 2021;23(2):90–100.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943359375" w:line="205.09573459625244" w:lineRule="auto"/>
        <w:ind w:left="339.17991638183594" w:right="218.170166015625" w:hanging="334.9299621582031"/>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Santino C, Zeeshan M, Hamidi M, Hanna K, Saljuqu A, Kulvatunyou N,  Haddadin Z, Northcutt A et Joseph B. Évaluation prospective de la qualité de  vie liée à la santé chez les patients gériatriques victimes de traumatismes.  Chirurgie. 2019 ; 166 : 403-407.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https://doi.org/10.1016/j.surg.2019.04.031</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52001953125" w:lineRule="auto"/>
        <w:ind w:left="337.97996520996094" w:right="214.21875" w:hanging="333.7300109863281"/>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39.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Tamura N, Kuriyami A et Kaihara T. Qualité de vie liée à la santé chez  les patients traumatisés 12 mois après leur blessure : une étude de cohorte  prospective. Eur J Trauma Emerg Surg. 2019 ; 45 : 1107-1113. https://doi.org/10.007/s00068-018-0993-9.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62015533447" w:lineRule="auto"/>
        <w:ind w:left="339.77989196777344" w:right="214.2694091796875" w:hanging="339.77989196777344"/>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Cameron P, Fitzgerald M, Curtis K, McKie E, Gabbe B, Earnest A,  Christey G, Clarke C, Crozier J, Dinh M, Ellis D, Howard T, Joseph A,  Mc Dermott K, Matthew J, Ogilvie R, Pollard C, Rao S, Reade M,  Rushworth N et Zalstein S. Aperçu des blessures traumatiques majeures  en Australie – implications pour la conception d'un système de  traumatologie . Injury. 2020 ; 51 : 114-121.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865234375" w:line="205.09597778320312" w:lineRule="auto"/>
        <w:ind w:left="341.4299774169922" w:right="216.3189697265625" w:hanging="341.4299774169922"/>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Gopinath B, Jagnoor J, Elbers N, Cameron I. Aperçu des résultats d'une  étude prospective menée pendant deux ans auprès de demandeurs ayant  subi des blessures légères ou modérées dans un accident de la route.  2017. BMC Res Notes 10:76.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07656097412" w:lineRule="auto"/>
        <w:ind w:left="342.77992248535156" w:right="216.220703125" w:hanging="342.77992248535156"/>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Gabbe B, Cameron P, Graves S, Williamson O et Edwards E. État avant  la blessure : les patients victimes de traumatismes orthopédiques sont-ils  différents de la population générale ? J Orthopaedic Trauma. 2007 ; 21(4).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1640625" w:line="205.09540557861328" w:lineRule="auto"/>
        <w:ind w:left="338.42994689941406" w:right="215.269775390625" w:hanging="338.42994689941406"/>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O’Donnell M, Creamer M, McFarlane A, Silove D, Bryant R. L’accès à  une indemnisation a-t-il un impact sur le rétablissement ? 2010. Med J  Australia ; 192(6) : 328-333.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3095703125" w:line="205.09573459625244" w:lineRule="auto"/>
        <w:ind w:left="340.6800079345703" w:right="218.17138671875" w:hanging="340.6800079345703"/>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Gabbe B, Simpson P, Cameron P, Ponsford J, Lyons R, Collie A,  Fitzgerald M, Judson R, Teague W, Braaf S, Nunn A, Ameratunga S,  Harrison J. État de santé à long terme et trajectoires des patients  gravement blessés : une étude longitudinale basée sur la population. PLOS  Med. 2017.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85302734375" w:line="205.09573459625244" w:lineRule="auto"/>
        <w:ind w:left="339.62989807128906" w:right="217.269287109375" w:hanging="339.62989807128906"/>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Herra-Escobar J, Seshadri A, Toppo A, Rafai S, Scott J, Havens J,  Velmahos G, Kasotakis G, Salim A, Haider A, Nehra D. Un niveau  d'éducation et un revenu faibles sont prédictifs de mauvais résultats à  long terme après une blessure. 2019. J Trauma Acute Care Surge;87(1).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0400390625" w:line="205.09573459625244" w:lineRule="auto"/>
        <w:ind w:left="420.9796142578125" w:right="129.171142578125" w:hanging="337.97973632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Halvachizadeh S, Teuber H, Berk T, Allemann F. Von Kanell R, Zelle B,  Pape H et Pfeifer R. Prévalence, facteurs liés aux blessures et non liés  aux blessures associés à l'anxiété et à la dépression chez les patients  polytraumatisés : une étude rétrospective de suivi sur 20 ans. 2020. Plos  One.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05.09573459625244" w:lineRule="auto"/>
        <w:ind w:left="424.429931640625" w:right="129.27001953125" w:hanging="341.4300537109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47.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Hoffman K, Cole E, Playford D, Grill E, Soberg H et Brohi K. Résultats  en matière de santé après un traumatisme majeur : que mesurons-nous ?  2014 Plos One ; 9(7)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669921875" w:line="205.09552001953125" w:lineRule="auto"/>
        <w:ind w:left="423.8299560546875" w:right="132.320556640625" w:hanging="340.830078125"/>
        <w:jc w:val="both"/>
        <w:rPr>
          <w:rFonts w:ascii="Times New Roman" w:cs="Times New Roman" w:eastAsia="Times New Roman" w:hAnsi="Times New Roman"/>
          <w:b w:val="0"/>
          <w:bCs w:val="0"/>
          <w:i w:val="0"/>
          <w:iCs w:val="0"/>
          <w:smallCaps w:val="0"/>
          <w:strike w:val="0"/>
          <w:color w:val="0000ff"/>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48.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Scholten A, Haagsma J, Steyerberg E, Van Beeck E et Polinder S. Évaluation  de la qualité de vie liée à la santé avant la blessure : revue systématique.  Population Health Metrics. 2017 15(10)</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 1186/s12963- 017-0127-3.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52001953125" w:lineRule="auto"/>
        <w:ind w:left="423.8299560546875" w:right="132.3193359375" w:hanging="340.8300781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49.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Rainer T, Hung K, Yeung J, Cheung S, Leung Y, Leung L, Goggins W, Ho  H, Kam C, Cheung N, Graham C. Trajectoire des résultats fonctionnels et  de l'état de santé après un traumatisme modéré à grave à Hong Kong : une  étude de cohorte prospective sur 5 ans. Injury. 2019 ; 50(5) : 1111–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829833984375"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https://doi.org/10.1016/j.injury.2019.02.017</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73459625244" w:lineRule="auto"/>
        <w:ind w:left="422.18017578125" w:right="127.17041015625" w:hanging="333.740234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50.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Collie A, Simpson P, Cameron P, Ameratunga S, Ponsford J, Lyons R,  Braaf S, Nunn A, Harrison J et Gabbe B. Modèles et prédicteurs du  retour au travail après un traumatisme grave : une étude prospective basée  sur un registre de population. Ann Surg. 2019 ; 269(5) : 972-978.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https://doi.org/10.1097/SLA.0000000000002666</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05.096435546875" w:lineRule="auto"/>
        <w:ind w:left="88.43994140625" w:right="130.169677734375"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Aiken L, Chaboyer W, Kendal E, Burmeister E. État de santé après un  traumatisme. J Trauma Acute Care Surg. 2012;72(6):1702–8.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1640625" w:line="205.09540557861328" w:lineRule="auto"/>
        <w:ind w:left="420.9796142578125" w:right="130.31982421875" w:hanging="332.539672851562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Solberg H, Bautz – Holter E, Finse A, Roise O, Andelic N. Santé  physique et mentale 10 ans après un traumatisme multiple : une étude de  cohorte prospective. 2015. J Trauma Acute Care Surg;78(3).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19921875" w:line="205.09573459625244" w:lineRule="auto"/>
        <w:ind w:left="422.18017578125" w:right="132.269287109375" w:hanging="333.740234375"/>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Centres pour le contrôle et la prévention des maladies. À propos des  maladies chroniques. </w:t>
      </w:r>
      <w:r w:rsidDel="00000000" w:rsidR="00000000" w:rsidRPr="00000000">
        <w:rPr>
          <w:rFonts w:ascii="Times New Roman" w:cs="Times New Roman" w:eastAsia="Times New Roman" w:hAnsi="Times New Roman"/>
          <w:b w:val="0"/>
          <w:bCs w:val="0"/>
          <w:i w:val="0"/>
          <w:iCs w:val="0"/>
          <w:smallCaps w:val="0"/>
          <w:strike w:val="0"/>
          <w:color w:val="0000ff"/>
          <w:sz w:val="15"/>
          <w:szCs w:val="15"/>
          <w:u w:val="none"/>
          <w:shd w:fill="auto" w:val="clear"/>
          <w:vertAlign w:val="baseline"/>
          <w:rtl w:val="0"/>
        </w:rPr>
        <w:t xml:space="preserve">https://www.cdc.gov/chronicdisease/about/index.htm</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Consulté le 3 mars  2021. 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1640625" w:line="240" w:lineRule="auto"/>
        <w:ind w:left="0" w:right="0" w:firstLine="0"/>
        <w:jc w:val="center"/>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Balogh Z. Polytraumatisme : c'est une maladie. Injury. 2022 ; 53(6) : 1727-9.</w:t>
      </w:r>
    </w:p>
    <w:sectPr>
      <w:type w:val="continuous"/>
      <w:pgSz w:h="15820" w:w="11900" w:orient="portrait"/>
      <w:pgMar w:bottom="1320.5398559570312" w:top="368.699951171875" w:left="1021.7200469970703" w:right="850.150146484375" w:header="0" w:footer="720"/>
      <w:cols w:equalWidth="0" w:num="2">
        <w:col w:space="0" w:w="5020"/>
        <w:col w:space="0" w:w="5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