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BE532" w14:textId="77777777" w:rsidR="00FF4048" w:rsidRDefault="00FF4048">
      <w:pPr>
        <w:spacing w:before="1400"/>
      </w:pPr>
    </w:p>
    <w:p w14:paraId="330BE533" w14:textId="77777777" w:rsidR="00FF4048" w:rsidRDefault="0091113A">
      <w:pPr>
        <w:jc w:val="center"/>
      </w:pPr>
      <w:r>
        <w:rPr>
          <w:b/>
          <w:bCs/>
          <w:color w:val="1F4E5F"/>
          <w:sz w:val="52"/>
          <w:szCs w:val="52"/>
        </w:rPr>
        <w:t>BLUETWIN-CE</w:t>
      </w:r>
    </w:p>
    <w:p w14:paraId="330BE534" w14:textId="77777777" w:rsidR="00FF4048" w:rsidRDefault="0091113A">
      <w:pPr>
        <w:spacing w:before="120" w:after="360"/>
        <w:jc w:val="center"/>
      </w:pPr>
      <w:r>
        <w:rPr>
          <w:color w:val="2E7D6B"/>
          <w:sz w:val="26"/>
          <w:szCs w:val="26"/>
        </w:rPr>
        <w:t xml:space="preserve">Pilotno območje: Svidník, Slovaška</w:t>
      </w:r>
    </w:p>
    <w:p w14:paraId="330BE535" w14:textId="77777777" w:rsidR="00FF4048" w:rsidRDefault="0091113A">
      <w:pPr>
        <w:spacing w:after="700"/>
        <w:jc w:val="center"/>
      </w:pPr>
      <w:r>
        <w:rPr>
          <w:i/>
          <w:iCs/>
          <w:sz w:val="26"/>
          <w:szCs w:val="26"/>
        </w:rPr>
        <w:t xml:space="preserve">Poročilo o delu: Faza 5 - Faza 9</w:t>
      </w:r>
    </w:p>
    <w:p w14:paraId="330BE536" w14:textId="77777777" w:rsidR="00FF4048" w:rsidRDefault="0091113A">
      <w:pPr>
        <w:spacing w:after="60"/>
        <w:jc w:val="center"/>
      </w:pPr>
      <w:r>
        <w:rPr>
          <w:sz w:val="21"/>
          <w:szCs w:val="21"/>
        </w:rPr>
        <w:t xml:space="preserve">Priprava realnih podatkov, izračun osnovnega stanja,</w:t>
      </w:r>
    </w:p>
    <w:p w14:paraId="330BE537" w14:textId="77777777" w:rsidR="00FF4048" w:rsidRDefault="0091113A">
      <w:pPr>
        <w:spacing w:after="60"/>
        <w:jc w:val="center"/>
      </w:pPr>
      <w:r>
        <w:rPr>
          <w:sz w:val="21"/>
          <w:szCs w:val="21"/>
        </w:rPr>
        <w:t xml:space="preserve">backend, frontend, kaj-če simulacije in testiranje</w:t>
      </w:r>
    </w:p>
    <w:p w14:paraId="330BE538" w14:textId="77777777" w:rsidR="00FF4048" w:rsidRDefault="0091113A">
      <w:pPr>
        <w:spacing w:before="500" w:after="40"/>
        <w:jc w:val="center"/>
      </w:pPr>
      <w:r>
        <w:rPr>
          <w:color w:val="555555"/>
          <w:sz w:val="19"/>
          <w:szCs w:val="19"/>
        </w:rPr>
        <w:t>Backend: http://127.0.0.1:8000    |    Frontend: http://localhost:5173</w:t>
      </w:r>
    </w:p>
    <w:p w14:paraId="330BE539" w14:textId="77777777" w:rsidR="00FF4048" w:rsidRDefault="0091113A">
      <w:pPr>
        <w:spacing w:before="1000"/>
        <w:jc w:val="center"/>
      </w:pPr>
      <w:r>
        <w:rPr>
          <w:color w:val="777777"/>
          <w:sz w:val="19"/>
          <w:szCs w:val="19"/>
        </w:rPr>
        <w:t>September 2026</w:t>
      </w:r>
    </w:p>
    <w:p w14:paraId="330BE53A" w14:textId="77777777" w:rsidR="00FF4048" w:rsidRDefault="0091113A">
      <w:r>
        <w:br w:type="page"/>
      </w:r>
    </w:p>
    <w:p w14:paraId="330BE53B" w14:textId="77777777" w:rsidR="00FF4048" w:rsidRDefault="0091113A">
      <w:pPr>
        <w:pStyle w:val="Heading1"/>
        <w:pBdr>
          <w:bottom w:val="single" w:sz="6" w:space="4" w:color="1F4E5F"/>
        </w:pBdr>
        <w:spacing w:before="360" w:after="160"/>
      </w:pPr>
      <w:r>
        <w:rPr>
          <w:b/>
          <w:bCs/>
          <w:color w:val="1F4E5F"/>
          <w:sz w:val="30"/>
          <w:szCs w:val="30"/>
        </w:rPr>
        <w:lastRenderedPageBreak/>
        <w:t>Uvod</w:t>
      </w:r>
    </w:p>
    <w:p w14:paraId="330BE53C" w14:textId="77777777" w:rsidR="00FF4048" w:rsidRDefault="0091113A">
      <w:pPr>
        <w:spacing w:after="140" w:line="300" w:lineRule="auto"/>
      </w:pPr>
      <w:r>
        <w:rPr>
          <w:sz w:val="21"/>
          <w:szCs w:val="21"/>
        </w:rPr>
        <w:t xml:space="preserve">To poročilo pokriva delo od faze 5 dalje po tabeli faz razvoja iz navodil (faze 0-4 - zasnova modela, indikatorjev, plasti in Power9/BZ uteži - so bile zaključene pred to fazo). Poudarek je na tem, kako so bili realni podatki za pilotno območje Svidník pripravljeni, preverjeni in vključeni v izračun, saj je to področje, kjer napačna odločitev najbolj neposredno vpliva na končni rezultat. Vsak korak je opisan tako, da je mogoče presoditi, ali je uporabljena logika ustrezna, preden se na njej gradijo nadaljnje faze (backend, frontend, simulacije).</w:t>
      </w:r>
    </w:p>
    <w:p w14:paraId="330BE53D" w14:textId="77777777" w:rsidR="00FF4048" w:rsidRDefault="0091113A">
      <w:pPr>
        <w:pStyle w:val="Heading1"/>
        <w:pBdr>
          <w:bottom w:val="single" w:sz="6" w:space="4" w:color="1F4E5F"/>
        </w:pBdr>
        <w:spacing w:before="360" w:after="160"/>
      </w:pPr>
      <w:r>
        <w:rPr>
          <w:b/>
          <w:bCs/>
          <w:color w:val="1F4E5F"/>
          <w:sz w:val="30"/>
          <w:szCs w:val="30"/>
        </w:rPr>
        <w:t xml:space="preserve">Faza 5 - Priprava realnih podatkov in izračun osnovnega stanja (baseline)</w:t>
      </w:r>
    </w:p>
    <w:p w14:paraId="330BE53E" w14:textId="77777777" w:rsidR="00FF4048" w:rsidRDefault="0091113A">
      <w:pPr>
        <w:spacing w:after="140" w:line="300" w:lineRule="auto"/>
      </w:pPr>
      <w:r>
        <w:rPr>
          <w:sz w:val="21"/>
          <w:szCs w:val="21"/>
        </w:rPr>
        <w:t xml:space="preserve">Ta faza je nadomestila prejšnje testne/približne podatke z dejanskimi podatki za Svidník. Za vsak indikator je bilo treba poiskati resničen vir, ga po potrebi pretvoriti v obseg, ki ga pričakuje model (config/indicators.yaml), ter odločiti, ali je vrednost dovolj zanesljiva, da se vključi - ali pa naj ostane označena kot manjkajoča.</w:t>
      </w:r>
    </w:p>
    <w:p w14:paraId="330BE53F" w14:textId="77777777" w:rsidR="00FF4048" w:rsidRDefault="0091113A">
      <w:pPr>
        <w:pStyle w:val="Heading2"/>
        <w:spacing w:before="260" w:after="120"/>
      </w:pPr>
      <w:r>
        <w:rPr>
          <w:b/>
          <w:bCs/>
          <w:color w:val="2E7D6B"/>
          <w:sz w:val="24"/>
          <w:szCs w:val="24"/>
        </w:rPr>
        <w:t xml:space="preserve">5.1 Pravilo, ki je bilo dosledno upoštevano: 'raje null kot izmišljena številka'</w:t>
      </w:r>
    </w:p>
    <w:p w14:paraId="330BE540" w14:textId="1FBE1894" w:rsidR="00FF4048" w:rsidRDefault="0091113A">
      <w:pPr>
        <w:spacing w:after="140" w:line="300" w:lineRule="auto"/>
      </w:pPr>
      <w:r>
        <w:rPr>
          <w:sz w:val="21"/>
          <w:szCs w:val="21"/>
        </w:rPr>
        <w:t xml:space="preserve">Kadar za indikator ni bilo mogoče najti podatka, ki bi ustrezal definiciji in enoti v modelu, vrednost NI bila približno ocenjena na pamet, temveč je bila eksplicitno označena kot manjkajoča (value: null, mapping_type: unmapped, quality: missing). Model tak indikator izloči iz izračuna povprečja plasti in namesto tega zniža 'data coverage' te plasti - kar je vidno v končnem rezultatu (glej 5.3) in omogoča takojšen vpogled, kje je rezultat manj zanesljiv. To je bila zavestna odločitev, da se prepreči vnos napačnih rezultatov v nadaljnje faze (Power9, BZ index, priporočila, simulacije).</w:t>
      </w:r>
    </w:p>
    <w:p w14:paraId="330BE541" w14:textId="77777777" w:rsidR="00FF4048" w:rsidRDefault="0091113A">
      <w:pPr>
        <w:pStyle w:val="Heading2"/>
        <w:spacing w:before="260" w:after="120"/>
      </w:pPr>
      <w:r>
        <w:rPr>
          <w:b/>
          <w:bCs/>
          <w:color w:val="2E7D6B"/>
          <w:sz w:val="24"/>
          <w:szCs w:val="24"/>
        </w:rPr>
        <w:t xml:space="preserve">5.2 Kako je bil obravnavan vsak indikator - podroben pregled</w:t>
      </w:r>
    </w:p>
    <w:p w14:paraId="330BE542" w14:textId="77777777" w:rsidR="00FF4048" w:rsidRDefault="0091113A">
      <w:pPr>
        <w:spacing w:after="140" w:line="300" w:lineRule="auto"/>
      </w:pPr>
      <w:r>
        <w:rPr>
          <w:sz w:val="21"/>
          <w:szCs w:val="21"/>
        </w:rPr>
        <w:t xml:space="preserve">Vsak indikator z dejansko vrednostjo je označen z načinom preslikave (mapping_type): exact (podatek je že v pravi enoti in pomenu), proxy (uporabljen je sorodni, a ne identični podatek), derived (vrednost je izračunana po dokumentirani formuli iz surovih podatkov), ali unmapped (podatka ni). Spodaj so ključne odločitve, ki najbolj vplivajo na presojo ustreznosti logike:</w:t>
      </w:r>
    </w:p>
    <w:p w14:paraId="330BE543" w14:textId="77777777" w:rsidR="00FF4048" w:rsidRDefault="0091113A">
      <w:pPr>
        <w:spacing w:before="180" w:after="80"/>
      </w:pPr>
      <w:r>
        <w:rPr>
          <w:b/>
          <w:bCs/>
          <w:color w:val="333333"/>
          <w:sz w:val="21"/>
          <w:szCs w:val="21"/>
        </w:rPr>
        <w:t xml:space="preserve">x12, x13 - Delež prebivalstva 65+ in stopnja starostne odvisnosti (exact, official)</w:t>
      </w:r>
    </w:p>
    <w:p w14:paraId="330BE544" w14:textId="7AA73EE1" w:rsidR="00FF4048" w:rsidRDefault="0091113A">
      <w:pPr>
        <w:spacing w:after="140" w:line="300" w:lineRule="auto"/>
      </w:pPr>
      <w:r>
        <w:rPr>
          <w:sz w:val="21"/>
          <w:szCs w:val="21"/>
        </w:rPr>
        <w:t xml:space="preserve">Neposredno iz uradne statistike (Statistical Office SR, om7006rr). Edini poseg je bila pretvorba merske enote (npr. 24.89% -&gt; 0.2489), da ustreza obsegu 0-1 oz. 0-2, definiranemu v modelu. Brez vsebinske interpretacije.</w:t>
      </w:r>
    </w:p>
    <w:p w14:paraId="330BE545" w14:textId="77777777" w:rsidR="00FF4048" w:rsidRDefault="0091113A">
      <w:pPr>
        <w:spacing w:before="180" w:after="80"/>
      </w:pPr>
      <w:r>
        <w:rPr>
          <w:b/>
          <w:bCs/>
          <w:color w:val="333333"/>
          <w:sz w:val="21"/>
          <w:szCs w:val="21"/>
        </w:rPr>
        <w:t xml:space="preserve">x14 - Enočlanska gospodinjstva starejših (proxy, needs_review)</w:t>
      </w:r>
    </w:p>
    <w:p w14:paraId="330BE546" w14:textId="42044F83" w:rsidR="00FF4048" w:rsidRDefault="0091113A">
      <w:pPr>
        <w:spacing w:after="140" w:line="300" w:lineRule="auto"/>
      </w:pPr>
      <w:r>
        <w:rPr>
          <w:sz w:val="21"/>
          <w:szCs w:val="21"/>
        </w:rPr>
        <w:t xml:space="preserve">Na voljo sta bila dva možna vira: (1) anketa KPSS Svidník 2023-2030 med 207 občani, od katerih je 57.97% upokojencev, ki pravi, da 38% živi v enočlanskih gospodinjstvih; (2) popis prebivalstva 2021, ki za celoten okraj navaja 1863 od 11492 gospodinjstev (=0.1621) kot enočlanskih - a brez omejitve na starejše. </w:t>
      </w:r>
      <w:r>
        <w:rPr>
          <w:b/>
          <w:bCs/>
          <w:sz w:val="21"/>
          <w:szCs w:val="21"/>
        </w:rPr>
        <w:t xml:space="preserve">Izbrana je bila prva vrednost (0.38)</w:t>
      </w:r>
      <w:r>
        <w:rPr>
          <w:sz w:val="21"/>
          <w:szCs w:val="21"/>
        </w:rPr>
        <w:t xml:space="preserve">, ker anketirana skupina večinsko ustreza definiciji indikatorja ('elderly'), druga pa ni bila uporabljena, ker meri vsa gospodinjstva ne glede na starost. Označeno kot 'needs_review', ker gre kljub temu le za približek, ne za neposredno meritev.</w:t>
      </w:r>
    </w:p>
    <w:p w14:paraId="330BE547" w14:textId="77777777" w:rsidR="00FF4048" w:rsidRDefault="0091113A">
      <w:pPr>
        <w:spacing w:before="180" w:after="80"/>
      </w:pPr>
      <w:r>
        <w:rPr>
          <w:b/>
          <w:bCs/>
          <w:color w:val="333333"/>
          <w:sz w:val="21"/>
          <w:szCs w:val="21"/>
        </w:rPr>
        <w:t xml:space="preserve">x15 - Demografska stabilnost (derived, official)</w:t>
      </w:r>
    </w:p>
    <w:p w14:paraId="330BE548" w14:textId="77777777" w:rsidR="00FF4048" w:rsidRDefault="0091113A">
      <w:pPr>
        <w:spacing w:after="140" w:line="300" w:lineRule="auto"/>
      </w:pPr>
      <w:r>
        <w:rPr>
          <w:sz w:val="21"/>
          <w:szCs w:val="21"/>
        </w:rPr>
        <w:t xml:space="preserve">Izračunano po formuli: (prebivalstvo_2025 - prebivalstvo_2015) / prebivalstvo_2015 = (9500 - 11289) / 11289 = -0.1585, na podlagi uradne časovne vrste prebivalstva. Ta indikator je v prejšnji različici uporabljal 'število rojstev na leto' kot približek, kar ni bilo prava mera stabilnosti (rojstva ne odražajo neposredno odseljevanja) - zamenjano z neposredno merljivo 10-letno spremembo števila prebivalcev, kar je vsebinsko ustrezneje.</w:t>
      </w:r>
    </w:p>
    <w:p w14:paraId="4CA6E7A7" w14:textId="77777777" w:rsidR="00575FB5" w:rsidRDefault="00575FB5">
      <w:pPr>
        <w:spacing w:before="180" w:after="80"/>
        <w:rPr>
          <w:b/>
          <w:bCs/>
          <w:color w:val="333333"/>
          <w:sz w:val="21"/>
          <w:szCs w:val="21"/>
        </w:rPr>
      </w:pPr>
    </w:p>
    <w:p w14:paraId="330BE549" w14:textId="62D97D40" w:rsidR="00FF4048" w:rsidRDefault="0091113A">
      <w:pPr>
        <w:spacing w:before="180" w:after="80"/>
      </w:pPr>
      <w:r>
        <w:rPr>
          <w:b/>
          <w:bCs/>
          <w:color w:val="333333"/>
          <w:sz w:val="21"/>
          <w:szCs w:val="21"/>
        </w:rPr>
        <w:lastRenderedPageBreak/>
        <w:t xml:space="preserve">x21 - Kronična obolevnost (proxy, corrected)</w:t>
      </w:r>
    </w:p>
    <w:p w14:paraId="330BE54A" w14:textId="77777777" w:rsidR="00FF4048" w:rsidRDefault="0091113A">
      <w:pPr>
        <w:spacing w:after="140" w:line="300" w:lineRule="auto"/>
      </w:pPr>
      <w:r>
        <w:rPr>
          <w:sz w:val="21"/>
          <w:szCs w:val="21"/>
        </w:rPr>
        <w:t xml:space="preserve">Kot približek je uporabljena umrljivost zaradi srčno-žilnih bolezni (1.2 na 1000 prebivalcev -&gt; 0.0012), ker neposredni podatek o 'prevalenci kroničnih bolezni' ni obstajal. To je označeno kot ožji koncept od tega, kar indikator meri (umrljivost ni isto kot obolevnost), zato je oznaka 'proxy' in ne 'exact' - namenoma ni prikazano kot bolj zanesljivo, kot dejansko je. Dva dodatna možna vira (prejemniki zdravil za sladkorno bolezen in visok krvni tlak) sta bila pretehtana in zavrnjena zaradi nejasne enote oziroma suma, da gre za regijske (ne občinske) vrednosti.</w:t>
      </w:r>
    </w:p>
    <w:p w14:paraId="330BE54B" w14:textId="77777777" w:rsidR="00FF4048" w:rsidRDefault="0091113A">
      <w:pPr>
        <w:spacing w:before="180" w:after="80"/>
      </w:pPr>
      <w:r>
        <w:rPr>
          <w:b/>
          <w:bCs/>
          <w:color w:val="333333"/>
          <w:sz w:val="21"/>
          <w:szCs w:val="21"/>
        </w:rPr>
        <w:t xml:space="preserve">x24 - Debelost (proxy, national_proxy)</w:t>
      </w:r>
    </w:p>
    <w:p w14:paraId="330BE54C" w14:textId="77777777" w:rsidR="00FF4048" w:rsidRDefault="0091113A">
      <w:pPr>
        <w:spacing w:after="140" w:line="300" w:lineRule="auto"/>
      </w:pPr>
      <w:r>
        <w:rPr>
          <w:sz w:val="21"/>
          <w:szCs w:val="21"/>
        </w:rPr>
        <w:t xml:space="preserve">Uporabljena je nacionalna (slovaška) vrednost Eurostat (58.7% -&gt; 0.587), ker podatek na ravni Svidníka ni javno dostopen. Označeno kot 'national_proxy', da je jasno razvidno, da gre za približek na državni, ne lokalni ravni - kar je pomembno razlikovati pri interpretaciji rezultata.</w:t>
      </w:r>
    </w:p>
    <w:p w14:paraId="330BE54D" w14:textId="77777777" w:rsidR="00FF4048" w:rsidRDefault="0091113A">
      <w:pPr>
        <w:spacing w:before="180" w:after="80"/>
      </w:pPr>
      <w:r>
        <w:rPr>
          <w:b/>
          <w:bCs/>
          <w:color w:val="333333"/>
          <w:sz w:val="21"/>
          <w:szCs w:val="21"/>
        </w:rPr>
        <w:t xml:space="preserve">x26, x31, x36, x41, x51, x53, x66 - Manjkajoči indikatorji (unmapped, missing)</w:t>
      </w:r>
    </w:p>
    <w:p w14:paraId="330BE54E" w14:textId="77777777" w:rsidR="00FF4048" w:rsidRDefault="0091113A">
      <w:pPr>
        <w:spacing w:after="140" w:line="300" w:lineRule="auto"/>
      </w:pPr>
      <w:r>
        <w:rPr>
          <w:sz w:val="21"/>
          <w:szCs w:val="21"/>
        </w:rPr>
        <w:t xml:space="preserve">Za teh sedem indikatorjev je bilo mogoče najti le podatke, ki jih ni bilo mogoče korektno pretvoriti v pričakovano obliko - npr. za x26 (samoocenjeno počutje na lestvici 0-10) je edini razpoložljiv vir uporabljal popolnoma drugo lestvico (delež ljudi z 'dobrim zdravjem' v %), za x51 (sodelovanje v skupnosti) pa so obstajala le absolutna števila (15 projektov/leto, 18 registriranih društev) brez ustreznega imenovalca za normiranje na delež. V vseh teh primerih je bila sprejeta odločitev, da se podatek NE pretvori na silo, temveč ostane manjkajoč - kar neposredno vpliva na 'data coverage' plasti L2, L3, L4 in L5 (glej 5.3).</w:t>
      </w:r>
    </w:p>
    <w:p w14:paraId="330BE54F" w14:textId="77777777" w:rsidR="00FF4048" w:rsidRDefault="0091113A">
      <w:pPr>
        <w:spacing w:before="180" w:after="80"/>
      </w:pPr>
      <w:r>
        <w:rPr>
          <w:b/>
          <w:bCs/>
          <w:color w:val="333333"/>
          <w:sz w:val="21"/>
          <w:szCs w:val="21"/>
        </w:rPr>
        <w:t xml:space="preserve">x43 - Dostop do narave (proxy, estimated)</w:t>
      </w:r>
    </w:p>
    <w:p w14:paraId="330BE550" w14:textId="77777777" w:rsidR="00FF4048" w:rsidRDefault="0091113A">
      <w:pPr>
        <w:spacing w:after="140" w:line="300" w:lineRule="auto"/>
      </w:pPr>
      <w:r>
        <w:rPr>
          <w:sz w:val="21"/>
          <w:szCs w:val="21"/>
        </w:rPr>
        <w:t xml:space="preserve">Prejšnja vrednost '5' z dvoumno enoto ('% or index') je bila zavržena kot nezanesljiva. Namesto nje je bila uporabljena kvalitativna ocena terenskega popisa ('Dobro' - glede na park Agatov haj, promenado ob Ondavi, športno igrišče, tekaško stezo, obnovljen bazen), pretvorjena po dokumentirani lestvici Slabo=0.2 / Srednje=0.5 / Dobro=0.8. Ta pretvorbena lestvica je subjektivna, zato je označena kot 'proxy'/'estimated', ne kot izmerjena vrednost - kar je transparentno razvidno iz oznake kakovosti.</w:t>
      </w:r>
    </w:p>
    <w:p w14:paraId="330BE551" w14:textId="77777777" w:rsidR="00FF4048" w:rsidRDefault="0091113A">
      <w:pPr>
        <w:spacing w:before="180" w:after="80"/>
      </w:pPr>
      <w:r>
        <w:rPr>
          <w:b/>
          <w:bCs/>
          <w:color w:val="333333"/>
          <w:sz w:val="21"/>
          <w:szCs w:val="21"/>
        </w:rPr>
        <w:t xml:space="preserve">x44 - Kakovost zraka (derived, official)</w:t>
      </w:r>
    </w:p>
    <w:p w14:paraId="330BE552" w14:textId="77777777" w:rsidR="00FF4048" w:rsidRDefault="0091113A">
      <w:pPr>
        <w:spacing w:after="140" w:line="300" w:lineRule="auto"/>
      </w:pPr>
      <w:r>
        <w:rPr>
          <w:sz w:val="21"/>
          <w:szCs w:val="21"/>
        </w:rPr>
        <w:t xml:space="preserve">SHMÚ (slovaški hidrometeorološki institut) indeks kakovosti zraka uporablja obratno lestvico (0=dobro, 66=zelo slabo), model pa pričakuje višje=boljše na 0-100. Formula 100 - (66/66*100) = 0 pravilno obrne smer lestvice - brez tega popravka bi bila v model vnesena nasprotna (napačna) smer podatka, kar bi neposredno popačilo rezultat plasti L4 in posledično P1 (Move Naturally).</w:t>
      </w:r>
    </w:p>
    <w:p w14:paraId="330BE553" w14:textId="77777777" w:rsidR="00FF4048" w:rsidRDefault="0091113A">
      <w:pPr>
        <w:spacing w:before="180" w:after="80"/>
      </w:pPr>
      <w:r>
        <w:rPr>
          <w:b/>
          <w:bCs/>
          <w:color w:val="333333"/>
          <w:sz w:val="21"/>
          <w:szCs w:val="21"/>
        </w:rPr>
        <w:t xml:space="preserve">x55 - Razpoložljivost podpornih storitev (derived, official)</w:t>
      </w:r>
    </w:p>
    <w:p w14:paraId="330BE554" w14:textId="77777777" w:rsidR="00FF4048" w:rsidRDefault="0091113A">
      <w:pPr>
        <w:spacing w:after="140" w:line="300" w:lineRule="auto"/>
        <w:rPr>
          <w:sz w:val="21"/>
          <w:szCs w:val="21"/>
        </w:rPr>
      </w:pPr>
      <w:r>
        <w:rPr>
          <w:sz w:val="21"/>
          <w:szCs w:val="21"/>
        </w:rPr>
        <w:t xml:space="preserve">Izračunano kot razmerje dejanske kapacitete domače nege in ocenjene potrebe (34 / 123 = 0.2764), na podlagi KPSS ankete in metodologije SOCIOKLUB. Zamenjuje prejšnji približek 'število strank', ki ni imel ustreznega imenovalca in bi bil brez konteksta nesmiseln.</w:t>
      </w:r>
    </w:p>
    <w:p w14:paraId="3FFCD7E8" w14:textId="61F3A9FC" w:rsidR="00C5165C" w:rsidRDefault="00C5165C">
      <w:pPr>
        <w:rPr>
          <w:sz w:val="21"/>
          <w:szCs w:val="21"/>
        </w:rPr>
      </w:pPr>
      <w:r>
        <w:rPr>
          <w:sz w:val="21"/>
          <w:szCs w:val="21"/>
        </w:rPr>
        <w:br w:type="page"/>
      </w:r>
    </w:p>
    <w:p w14:paraId="5BCD060E" w14:textId="77777777" w:rsidR="00C5165C" w:rsidRDefault="00C5165C">
      <w:pPr>
        <w:spacing w:after="140" w:line="300" w:lineRule="auto"/>
      </w:pPr>
    </w:p>
    <w:p w14:paraId="330BE558" w14:textId="77777777" w:rsidR="00FF4048" w:rsidRDefault="0091113A">
      <w:pPr>
        <w:pStyle w:val="Heading2"/>
        <w:spacing w:before="260" w:after="120"/>
      </w:pPr>
      <w:r>
        <w:rPr>
          <w:b/>
          <w:bCs/>
          <w:color w:val="2E7D6B"/>
          <w:sz w:val="24"/>
          <w:szCs w:val="24"/>
        </w:rPr>
        <w:t xml:space="preserve">5.3 Rezultat te faze: izračunano osnovno stanje (baseline)</w:t>
      </w:r>
    </w:p>
    <w:p w14:paraId="330BE559" w14:textId="77777777" w:rsidR="00FF4048" w:rsidRDefault="0091113A">
      <w:pPr>
        <w:spacing w:after="140" w:line="300" w:lineRule="auto"/>
      </w:pPr>
      <w:r>
        <w:rPr>
          <w:sz w:val="21"/>
          <w:szCs w:val="21"/>
        </w:rPr>
        <w:t xml:space="preserve">Z zgoraj opisanimi 16 indikatorji (od 42 definiranih) je bil izračunan BZ index: </w:t>
      </w:r>
      <w:r>
        <w:rPr>
          <w:b/>
          <w:bCs/>
          <w:color w:val="1F4E5F"/>
          <w:sz w:val="21"/>
          <w:szCs w:val="21"/>
        </w:rPr>
        <w:t>0.2521</w:t>
      </w:r>
      <w:r>
        <w:rPr>
          <w:sz w:val="21"/>
          <w:szCs w:val="21"/>
        </w:rPr>
        <w:t xml:space="preserve"> (lestvica 0-1).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80"/>
        <w:gridCol w:w="1900"/>
        <w:gridCol w:w="1900"/>
      </w:tblGrid>
      <w:tr w:rsidR="00FF4048" w14:paraId="330BE55E" w14:textId="77777777">
        <w:tblPrEx>
          <w:tblCellMar>
            <w:top w:w="0" w:type="dxa"/>
            <w:bottom w:w="0" w:type="dxa"/>
          </w:tblCellMar>
        </w:tblPrEx>
        <w:trPr>
          <w:tblHeader/>
        </w:trPr>
        <w:tc>
          <w:tcPr>
            <w:tcW w:w="2000" w:type="dxa"/>
            <w:shd w:val="clear" w:color="auto" w:fill="1F4E5F"/>
            <w:tcMar>
              <w:top w:w="60" w:type="dxa"/>
              <w:left w:w="100" w:type="dxa"/>
              <w:bottom w:w="60" w:type="dxa"/>
              <w:right w:w="100" w:type="dxa"/>
            </w:tcMar>
          </w:tcPr>
          <w:p w14:paraId="330BE55A" w14:textId="77777777" w:rsidR="00FF4048" w:rsidRDefault="0091113A">
            <w:r>
              <w:rPr>
                <w:b/>
                <w:bCs/>
                <w:color w:val="FFFFFF"/>
                <w:sz w:val="17"/>
                <w:szCs w:val="17"/>
              </w:rPr>
              <w:t>Plast</w:t>
            </w:r>
          </w:p>
        </w:tc>
        <w:tc>
          <w:tcPr>
            <w:tcW w:w="4280" w:type="dxa"/>
            <w:shd w:val="clear" w:color="auto" w:fill="1F4E5F"/>
            <w:tcMar>
              <w:top w:w="60" w:type="dxa"/>
              <w:left w:w="100" w:type="dxa"/>
              <w:bottom w:w="60" w:type="dxa"/>
              <w:right w:w="100" w:type="dxa"/>
            </w:tcMar>
          </w:tcPr>
          <w:p w14:paraId="330BE55B" w14:textId="77777777" w:rsidR="00FF4048" w:rsidRDefault="0091113A">
            <w:r>
              <w:rPr>
                <w:b/>
                <w:bCs/>
                <w:color w:val="FFFFFF"/>
                <w:sz w:val="17"/>
                <w:szCs w:val="17"/>
              </w:rPr>
              <w:t>Ime</w:t>
            </w:r>
          </w:p>
        </w:tc>
        <w:tc>
          <w:tcPr>
            <w:tcW w:w="1900" w:type="dxa"/>
            <w:shd w:val="clear" w:color="auto" w:fill="1F4E5F"/>
            <w:tcMar>
              <w:top w:w="60" w:type="dxa"/>
              <w:left w:w="100" w:type="dxa"/>
              <w:bottom w:w="60" w:type="dxa"/>
              <w:right w:w="100" w:type="dxa"/>
            </w:tcMar>
          </w:tcPr>
          <w:p w14:paraId="330BE55C" w14:textId="77777777" w:rsidR="00FF4048" w:rsidRDefault="0091113A">
            <w:r>
              <w:rPr>
                <w:b/>
                <w:bCs/>
                <w:color w:val="FFFFFF"/>
                <w:sz w:val="17"/>
                <w:szCs w:val="17"/>
              </w:rPr>
              <w:t xml:space="preserve">Rezultat (0-1)</w:t>
            </w:r>
          </w:p>
        </w:tc>
        <w:tc>
          <w:tcPr>
            <w:tcW w:w="1900" w:type="dxa"/>
            <w:shd w:val="clear" w:color="auto" w:fill="1F4E5F"/>
            <w:tcMar>
              <w:top w:w="60" w:type="dxa"/>
              <w:left w:w="100" w:type="dxa"/>
              <w:bottom w:w="60" w:type="dxa"/>
              <w:right w:w="100" w:type="dxa"/>
            </w:tcMar>
          </w:tcPr>
          <w:p w14:paraId="330BE55D" w14:textId="77777777" w:rsidR="00FF4048" w:rsidRDefault="0091113A">
            <w:r>
              <w:rPr>
                <w:b/>
                <w:bCs/>
                <w:color w:val="FFFFFF"/>
                <w:sz w:val="17"/>
                <w:szCs w:val="17"/>
              </w:rPr>
              <w:t xml:space="preserve">Pokritost podatkov</w:t>
            </w:r>
          </w:p>
        </w:tc>
      </w:tr>
      <w:tr w:rsidR="00FF4048" w14:paraId="330BE563" w14:textId="77777777">
        <w:tblPrEx>
          <w:tblCellMar>
            <w:top w:w="0" w:type="dxa"/>
            <w:bottom w:w="0" w:type="dxa"/>
          </w:tblCellMar>
        </w:tblPrEx>
        <w:tc>
          <w:tcPr>
            <w:tcW w:w="2000" w:type="dxa"/>
            <w:tcMar>
              <w:top w:w="60" w:type="dxa"/>
              <w:left w:w="100" w:type="dxa"/>
              <w:bottom w:w="60" w:type="dxa"/>
              <w:right w:w="100" w:type="dxa"/>
            </w:tcMar>
          </w:tcPr>
          <w:p w14:paraId="330BE55F" w14:textId="77777777" w:rsidR="00FF4048" w:rsidRDefault="0091113A">
            <w:r>
              <w:rPr>
                <w:color w:val="000000"/>
                <w:sz w:val="17"/>
                <w:szCs w:val="17"/>
              </w:rPr>
              <w:t>L1</w:t>
            </w:r>
          </w:p>
        </w:tc>
        <w:tc>
          <w:tcPr>
            <w:tcW w:w="4280" w:type="dxa"/>
            <w:tcMar>
              <w:top w:w="60" w:type="dxa"/>
              <w:left w:w="100" w:type="dxa"/>
              <w:bottom w:w="60" w:type="dxa"/>
              <w:right w:w="100" w:type="dxa"/>
            </w:tcMar>
          </w:tcPr>
          <w:p w14:paraId="330BE560" w14:textId="77777777" w:rsidR="00FF4048" w:rsidRDefault="0091113A">
            <w:r>
              <w:rPr>
                <w:color w:val="000000"/>
                <w:sz w:val="17"/>
                <w:szCs w:val="17"/>
              </w:rPr>
              <w:t xml:space="preserve">Demografski podatki</w:t>
            </w:r>
          </w:p>
        </w:tc>
        <w:tc>
          <w:tcPr>
            <w:tcW w:w="1900" w:type="dxa"/>
            <w:tcMar>
              <w:top w:w="60" w:type="dxa"/>
              <w:left w:w="100" w:type="dxa"/>
              <w:bottom w:w="60" w:type="dxa"/>
              <w:right w:w="100" w:type="dxa"/>
            </w:tcMar>
          </w:tcPr>
          <w:p w14:paraId="330BE561" w14:textId="77777777" w:rsidR="00FF4048" w:rsidRDefault="0091113A">
            <w:r>
              <w:rPr>
                <w:color w:val="000000"/>
                <w:sz w:val="17"/>
                <w:szCs w:val="17"/>
              </w:rPr>
              <w:t>0.4993</w:t>
            </w:r>
          </w:p>
        </w:tc>
        <w:tc>
          <w:tcPr>
            <w:tcW w:w="1900" w:type="dxa"/>
            <w:tcMar>
              <w:top w:w="60" w:type="dxa"/>
              <w:left w:w="100" w:type="dxa"/>
              <w:bottom w:w="60" w:type="dxa"/>
              <w:right w:w="100" w:type="dxa"/>
            </w:tcMar>
          </w:tcPr>
          <w:p w14:paraId="330BE562" w14:textId="77777777" w:rsidR="00FF4048" w:rsidRDefault="0091113A">
            <w:r>
              <w:rPr>
                <w:color w:val="000000"/>
                <w:sz w:val="17"/>
                <w:szCs w:val="17"/>
              </w:rPr>
              <w:t>52%</w:t>
            </w:r>
          </w:p>
        </w:tc>
      </w:tr>
      <w:tr w:rsidR="00FF4048" w14:paraId="330BE568" w14:textId="77777777">
        <w:tblPrEx>
          <w:tblCellMar>
            <w:top w:w="0" w:type="dxa"/>
            <w:bottom w:w="0" w:type="dxa"/>
          </w:tblCellMar>
        </w:tblPrEx>
        <w:tc>
          <w:tcPr>
            <w:tcW w:w="2000" w:type="dxa"/>
            <w:shd w:val="clear" w:color="auto" w:fill="EAF3F1"/>
            <w:tcMar>
              <w:top w:w="60" w:type="dxa"/>
              <w:left w:w="100" w:type="dxa"/>
              <w:bottom w:w="60" w:type="dxa"/>
              <w:right w:w="100" w:type="dxa"/>
            </w:tcMar>
          </w:tcPr>
          <w:p w14:paraId="330BE564" w14:textId="77777777" w:rsidR="00FF4048" w:rsidRDefault="0091113A">
            <w:r>
              <w:rPr>
                <w:color w:val="000000"/>
                <w:sz w:val="17"/>
                <w:szCs w:val="17"/>
              </w:rPr>
              <w:t>L2</w:t>
            </w:r>
          </w:p>
        </w:tc>
        <w:tc>
          <w:tcPr>
            <w:tcW w:w="4280" w:type="dxa"/>
            <w:shd w:val="clear" w:color="auto" w:fill="EAF3F1"/>
            <w:tcMar>
              <w:top w:w="60" w:type="dxa"/>
              <w:left w:w="100" w:type="dxa"/>
              <w:bottom w:w="60" w:type="dxa"/>
              <w:right w:w="100" w:type="dxa"/>
            </w:tcMar>
          </w:tcPr>
          <w:p w14:paraId="330BE565" w14:textId="77777777" w:rsidR="00FF4048" w:rsidRDefault="0091113A">
            <w:r>
              <w:rPr>
                <w:color w:val="000000"/>
                <w:sz w:val="17"/>
                <w:szCs w:val="17"/>
              </w:rPr>
              <w:t xml:space="preserve">Zdravje in dobro počutje</w:t>
            </w:r>
          </w:p>
        </w:tc>
        <w:tc>
          <w:tcPr>
            <w:tcW w:w="1900" w:type="dxa"/>
            <w:shd w:val="clear" w:color="auto" w:fill="EAF3F1"/>
            <w:tcMar>
              <w:top w:w="60" w:type="dxa"/>
              <w:left w:w="100" w:type="dxa"/>
              <w:bottom w:w="60" w:type="dxa"/>
              <w:right w:w="100" w:type="dxa"/>
            </w:tcMar>
          </w:tcPr>
          <w:p w14:paraId="330BE566" w14:textId="77777777" w:rsidR="00FF4048" w:rsidRDefault="0091113A">
            <w:r>
              <w:rPr>
                <w:color w:val="000000"/>
                <w:sz w:val="17"/>
                <w:szCs w:val="17"/>
              </w:rPr>
              <w:t>0.7645</w:t>
            </w:r>
          </w:p>
        </w:tc>
        <w:tc>
          <w:tcPr>
            <w:tcW w:w="1900" w:type="dxa"/>
            <w:shd w:val="clear" w:color="auto" w:fill="EAF3F1"/>
            <w:tcMar>
              <w:top w:w="60" w:type="dxa"/>
              <w:left w:w="100" w:type="dxa"/>
              <w:bottom w:w="60" w:type="dxa"/>
              <w:right w:w="100" w:type="dxa"/>
            </w:tcMar>
          </w:tcPr>
          <w:p w14:paraId="330BE567" w14:textId="77777777" w:rsidR="00FF4048" w:rsidRDefault="0091113A">
            <w:r>
              <w:rPr>
                <w:color w:val="000000"/>
                <w:sz w:val="17"/>
                <w:szCs w:val="17"/>
              </w:rPr>
              <w:t>40%</w:t>
            </w:r>
          </w:p>
        </w:tc>
      </w:tr>
      <w:tr w:rsidR="00FF4048" w14:paraId="330BE56D" w14:textId="77777777">
        <w:tblPrEx>
          <w:tblCellMar>
            <w:top w:w="0" w:type="dxa"/>
            <w:bottom w:w="0" w:type="dxa"/>
          </w:tblCellMar>
        </w:tblPrEx>
        <w:tc>
          <w:tcPr>
            <w:tcW w:w="2000" w:type="dxa"/>
            <w:tcMar>
              <w:top w:w="60" w:type="dxa"/>
              <w:left w:w="100" w:type="dxa"/>
              <w:bottom w:w="60" w:type="dxa"/>
              <w:right w:w="100" w:type="dxa"/>
            </w:tcMar>
          </w:tcPr>
          <w:p w14:paraId="330BE569" w14:textId="77777777" w:rsidR="00FF4048" w:rsidRDefault="0091113A">
            <w:r>
              <w:rPr>
                <w:color w:val="000000"/>
                <w:sz w:val="17"/>
                <w:szCs w:val="17"/>
              </w:rPr>
              <w:t>L3</w:t>
            </w:r>
          </w:p>
        </w:tc>
        <w:tc>
          <w:tcPr>
            <w:tcW w:w="4280" w:type="dxa"/>
            <w:tcMar>
              <w:top w:w="60" w:type="dxa"/>
              <w:left w:w="100" w:type="dxa"/>
              <w:bottom w:w="60" w:type="dxa"/>
              <w:right w:w="100" w:type="dxa"/>
            </w:tcMar>
          </w:tcPr>
          <w:p w14:paraId="330BE56A" w14:textId="77777777" w:rsidR="00FF4048" w:rsidRDefault="0091113A">
            <w:r>
              <w:rPr>
                <w:color w:val="000000"/>
                <w:sz w:val="17"/>
                <w:szCs w:val="17"/>
              </w:rPr>
              <w:t xml:space="preserve">Prehranska dostopnost in vzorci</w:t>
            </w:r>
          </w:p>
        </w:tc>
        <w:tc>
          <w:tcPr>
            <w:tcW w:w="1900" w:type="dxa"/>
            <w:tcMar>
              <w:top w:w="60" w:type="dxa"/>
              <w:left w:w="100" w:type="dxa"/>
              <w:bottom w:w="60" w:type="dxa"/>
              <w:right w:w="100" w:type="dxa"/>
            </w:tcMar>
          </w:tcPr>
          <w:p w14:paraId="330BE56B" w14:textId="77777777" w:rsidR="00FF4048" w:rsidRDefault="0091113A">
            <w:r>
              <w:rPr>
                <w:color w:val="000000"/>
                <w:sz w:val="17"/>
                <w:szCs w:val="17"/>
              </w:rPr>
              <w:t>0.0000</w:t>
            </w:r>
          </w:p>
        </w:tc>
        <w:tc>
          <w:tcPr>
            <w:tcW w:w="1900" w:type="dxa"/>
            <w:tcMar>
              <w:top w:w="60" w:type="dxa"/>
              <w:left w:w="100" w:type="dxa"/>
              <w:bottom w:w="60" w:type="dxa"/>
              <w:right w:w="100" w:type="dxa"/>
            </w:tcMar>
          </w:tcPr>
          <w:p w14:paraId="330BE56C" w14:textId="77777777" w:rsidR="00FF4048" w:rsidRDefault="0091113A">
            <w:r>
              <w:rPr>
                <w:color w:val="000000"/>
                <w:sz w:val="17"/>
                <w:szCs w:val="17"/>
              </w:rPr>
              <w:t>0%</w:t>
            </w:r>
          </w:p>
        </w:tc>
      </w:tr>
      <w:tr w:rsidR="00FF4048" w14:paraId="330BE572" w14:textId="77777777">
        <w:tblPrEx>
          <w:tblCellMar>
            <w:top w:w="0" w:type="dxa"/>
            <w:bottom w:w="0" w:type="dxa"/>
          </w:tblCellMar>
        </w:tblPrEx>
        <w:tc>
          <w:tcPr>
            <w:tcW w:w="2000" w:type="dxa"/>
            <w:shd w:val="clear" w:color="auto" w:fill="EAF3F1"/>
            <w:tcMar>
              <w:top w:w="60" w:type="dxa"/>
              <w:left w:w="100" w:type="dxa"/>
              <w:bottom w:w="60" w:type="dxa"/>
              <w:right w:w="100" w:type="dxa"/>
            </w:tcMar>
          </w:tcPr>
          <w:p w14:paraId="330BE56E" w14:textId="77777777" w:rsidR="00FF4048" w:rsidRDefault="0091113A">
            <w:r>
              <w:rPr>
                <w:color w:val="000000"/>
                <w:sz w:val="17"/>
                <w:szCs w:val="17"/>
              </w:rPr>
              <w:t>L4</w:t>
            </w:r>
          </w:p>
        </w:tc>
        <w:tc>
          <w:tcPr>
            <w:tcW w:w="4280" w:type="dxa"/>
            <w:shd w:val="clear" w:color="auto" w:fill="EAF3F1"/>
            <w:tcMar>
              <w:top w:w="60" w:type="dxa"/>
              <w:left w:w="100" w:type="dxa"/>
              <w:bottom w:w="60" w:type="dxa"/>
              <w:right w:w="100" w:type="dxa"/>
            </w:tcMar>
          </w:tcPr>
          <w:p w14:paraId="330BE56F" w14:textId="77777777" w:rsidR="00FF4048" w:rsidRDefault="0091113A">
            <w:r>
              <w:rPr>
                <w:color w:val="000000"/>
                <w:sz w:val="17"/>
                <w:szCs w:val="17"/>
              </w:rPr>
              <w:t xml:space="preserve">Fizično okolje</w:t>
            </w:r>
          </w:p>
        </w:tc>
        <w:tc>
          <w:tcPr>
            <w:tcW w:w="1900" w:type="dxa"/>
            <w:shd w:val="clear" w:color="auto" w:fill="EAF3F1"/>
            <w:tcMar>
              <w:top w:w="60" w:type="dxa"/>
              <w:left w:w="100" w:type="dxa"/>
              <w:bottom w:w="60" w:type="dxa"/>
              <w:right w:w="100" w:type="dxa"/>
            </w:tcMar>
          </w:tcPr>
          <w:p w14:paraId="330BE570" w14:textId="77777777" w:rsidR="00FF4048" w:rsidRDefault="0091113A">
            <w:r>
              <w:rPr>
                <w:color w:val="000000"/>
                <w:sz w:val="17"/>
                <w:szCs w:val="17"/>
              </w:rPr>
              <w:t>0.4500</w:t>
            </w:r>
          </w:p>
        </w:tc>
        <w:tc>
          <w:tcPr>
            <w:tcW w:w="1900" w:type="dxa"/>
            <w:shd w:val="clear" w:color="auto" w:fill="EAF3F1"/>
            <w:tcMar>
              <w:top w:w="60" w:type="dxa"/>
              <w:left w:w="100" w:type="dxa"/>
              <w:bottom w:w="60" w:type="dxa"/>
              <w:right w:w="100" w:type="dxa"/>
            </w:tcMar>
          </w:tcPr>
          <w:p w14:paraId="330BE571" w14:textId="77777777" w:rsidR="00FF4048" w:rsidRDefault="0091113A">
            <w:r>
              <w:rPr>
                <w:color w:val="000000"/>
                <w:sz w:val="17"/>
                <w:szCs w:val="17"/>
              </w:rPr>
              <w:t>32%</w:t>
            </w:r>
          </w:p>
        </w:tc>
      </w:tr>
      <w:tr w:rsidR="00FF4048" w14:paraId="330BE577" w14:textId="77777777">
        <w:tblPrEx>
          <w:tblCellMar>
            <w:top w:w="0" w:type="dxa"/>
            <w:bottom w:w="0" w:type="dxa"/>
          </w:tblCellMar>
        </w:tblPrEx>
        <w:tc>
          <w:tcPr>
            <w:tcW w:w="2000" w:type="dxa"/>
            <w:tcMar>
              <w:top w:w="60" w:type="dxa"/>
              <w:left w:w="100" w:type="dxa"/>
              <w:bottom w:w="60" w:type="dxa"/>
              <w:right w:w="100" w:type="dxa"/>
            </w:tcMar>
          </w:tcPr>
          <w:p w14:paraId="330BE573" w14:textId="77777777" w:rsidR="00FF4048" w:rsidRDefault="0091113A">
            <w:r>
              <w:rPr>
                <w:color w:val="000000"/>
                <w:sz w:val="17"/>
                <w:szCs w:val="17"/>
              </w:rPr>
              <w:t>L5</w:t>
            </w:r>
          </w:p>
        </w:tc>
        <w:tc>
          <w:tcPr>
            <w:tcW w:w="4280" w:type="dxa"/>
            <w:tcMar>
              <w:top w:w="60" w:type="dxa"/>
              <w:left w:w="100" w:type="dxa"/>
              <w:bottom w:w="60" w:type="dxa"/>
              <w:right w:w="100" w:type="dxa"/>
            </w:tcMar>
          </w:tcPr>
          <w:p w14:paraId="330BE574" w14:textId="77777777" w:rsidR="00FF4048" w:rsidRDefault="0091113A">
            <w:r>
              <w:rPr>
                <w:color w:val="000000"/>
                <w:sz w:val="17"/>
                <w:szCs w:val="17"/>
              </w:rPr>
              <w:t xml:space="preserve">Družbena in skupnostna dinamika</w:t>
            </w:r>
          </w:p>
        </w:tc>
        <w:tc>
          <w:tcPr>
            <w:tcW w:w="1900" w:type="dxa"/>
            <w:tcMar>
              <w:top w:w="60" w:type="dxa"/>
              <w:left w:w="100" w:type="dxa"/>
              <w:bottom w:w="60" w:type="dxa"/>
              <w:right w:w="100" w:type="dxa"/>
            </w:tcMar>
          </w:tcPr>
          <w:p w14:paraId="330BE575" w14:textId="77777777" w:rsidR="00FF4048" w:rsidRDefault="0091113A">
            <w:r>
              <w:rPr>
                <w:color w:val="000000"/>
                <w:sz w:val="17"/>
                <w:szCs w:val="17"/>
              </w:rPr>
              <w:t>0.2764</w:t>
            </w:r>
          </w:p>
        </w:tc>
        <w:tc>
          <w:tcPr>
            <w:tcW w:w="1900" w:type="dxa"/>
            <w:tcMar>
              <w:top w:w="60" w:type="dxa"/>
              <w:left w:w="100" w:type="dxa"/>
              <w:bottom w:w="60" w:type="dxa"/>
              <w:right w:w="100" w:type="dxa"/>
            </w:tcMar>
          </w:tcPr>
          <w:p w14:paraId="330BE576" w14:textId="77777777" w:rsidR="00FF4048" w:rsidRDefault="0091113A">
            <w:r>
              <w:rPr>
                <w:color w:val="000000"/>
                <w:sz w:val="17"/>
                <w:szCs w:val="17"/>
              </w:rPr>
              <w:t>10%</w:t>
            </w:r>
          </w:p>
        </w:tc>
      </w:tr>
      <w:tr w:rsidR="00FF4048" w14:paraId="330BE57C" w14:textId="77777777">
        <w:tblPrEx>
          <w:tblCellMar>
            <w:top w:w="0" w:type="dxa"/>
            <w:bottom w:w="0" w:type="dxa"/>
          </w:tblCellMar>
        </w:tblPrEx>
        <w:tc>
          <w:tcPr>
            <w:tcW w:w="2000" w:type="dxa"/>
            <w:shd w:val="clear" w:color="auto" w:fill="EAF3F1"/>
            <w:tcMar>
              <w:top w:w="60" w:type="dxa"/>
              <w:left w:w="100" w:type="dxa"/>
              <w:bottom w:w="60" w:type="dxa"/>
              <w:right w:w="100" w:type="dxa"/>
            </w:tcMar>
          </w:tcPr>
          <w:p w14:paraId="330BE578" w14:textId="77777777" w:rsidR="00FF4048" w:rsidRDefault="0091113A">
            <w:r>
              <w:rPr>
                <w:color w:val="000000"/>
                <w:sz w:val="17"/>
                <w:szCs w:val="17"/>
              </w:rPr>
              <w:t>L6</w:t>
            </w:r>
          </w:p>
        </w:tc>
        <w:tc>
          <w:tcPr>
            <w:tcW w:w="4280" w:type="dxa"/>
            <w:shd w:val="clear" w:color="auto" w:fill="EAF3F1"/>
            <w:tcMar>
              <w:top w:w="60" w:type="dxa"/>
              <w:left w:w="100" w:type="dxa"/>
              <w:bottom w:w="60" w:type="dxa"/>
              <w:right w:w="100" w:type="dxa"/>
            </w:tcMar>
          </w:tcPr>
          <w:p w14:paraId="330BE579" w14:textId="77777777" w:rsidR="00FF4048" w:rsidRDefault="0091113A">
            <w:r>
              <w:rPr>
                <w:color w:val="000000"/>
                <w:sz w:val="17"/>
                <w:szCs w:val="17"/>
              </w:rPr>
              <w:t xml:space="preserve">Mobilnost in dostopnost</w:t>
            </w:r>
          </w:p>
        </w:tc>
        <w:tc>
          <w:tcPr>
            <w:tcW w:w="1900" w:type="dxa"/>
            <w:shd w:val="clear" w:color="auto" w:fill="EAF3F1"/>
            <w:tcMar>
              <w:top w:w="60" w:type="dxa"/>
              <w:left w:w="100" w:type="dxa"/>
              <w:bottom w:w="60" w:type="dxa"/>
              <w:right w:w="100" w:type="dxa"/>
            </w:tcMar>
          </w:tcPr>
          <w:p w14:paraId="330BE57A" w14:textId="77777777" w:rsidR="00FF4048" w:rsidRDefault="0091113A">
            <w:r>
              <w:rPr>
                <w:color w:val="000000"/>
                <w:sz w:val="17"/>
                <w:szCs w:val="17"/>
              </w:rPr>
              <w:t>0.0000</w:t>
            </w:r>
          </w:p>
        </w:tc>
        <w:tc>
          <w:tcPr>
            <w:tcW w:w="1900" w:type="dxa"/>
            <w:shd w:val="clear" w:color="auto" w:fill="EAF3F1"/>
            <w:tcMar>
              <w:top w:w="60" w:type="dxa"/>
              <w:left w:w="100" w:type="dxa"/>
              <w:bottom w:w="60" w:type="dxa"/>
              <w:right w:w="100" w:type="dxa"/>
            </w:tcMar>
          </w:tcPr>
          <w:p w14:paraId="330BE57B" w14:textId="77777777" w:rsidR="00FF4048" w:rsidRDefault="0091113A">
            <w:r>
              <w:rPr>
                <w:color w:val="000000"/>
                <w:sz w:val="17"/>
                <w:szCs w:val="17"/>
              </w:rPr>
              <w:t>0%</w:t>
            </w:r>
          </w:p>
        </w:tc>
      </w:tr>
      <w:tr w:rsidR="00FF4048" w14:paraId="330BE581" w14:textId="77777777">
        <w:tblPrEx>
          <w:tblCellMar>
            <w:top w:w="0" w:type="dxa"/>
            <w:bottom w:w="0" w:type="dxa"/>
          </w:tblCellMar>
        </w:tblPrEx>
        <w:tc>
          <w:tcPr>
            <w:tcW w:w="2000" w:type="dxa"/>
            <w:tcMar>
              <w:top w:w="60" w:type="dxa"/>
              <w:left w:w="100" w:type="dxa"/>
              <w:bottom w:w="60" w:type="dxa"/>
              <w:right w:w="100" w:type="dxa"/>
            </w:tcMar>
          </w:tcPr>
          <w:p w14:paraId="330BE57D" w14:textId="77777777" w:rsidR="00FF4048" w:rsidRDefault="0091113A">
            <w:r>
              <w:rPr>
                <w:color w:val="000000"/>
                <w:sz w:val="17"/>
                <w:szCs w:val="17"/>
              </w:rPr>
              <w:t>L7</w:t>
            </w:r>
          </w:p>
        </w:tc>
        <w:tc>
          <w:tcPr>
            <w:tcW w:w="4280" w:type="dxa"/>
            <w:tcMar>
              <w:top w:w="60" w:type="dxa"/>
              <w:left w:w="100" w:type="dxa"/>
              <w:bottom w:w="60" w:type="dxa"/>
              <w:right w:w="100" w:type="dxa"/>
            </w:tcMar>
          </w:tcPr>
          <w:p w14:paraId="330BE57E" w14:textId="77777777" w:rsidR="00FF4048" w:rsidRDefault="0091113A">
            <w:r>
              <w:rPr>
                <w:color w:val="000000"/>
                <w:sz w:val="17"/>
                <w:szCs w:val="17"/>
              </w:rPr>
              <w:t xml:space="preserve">Ekonomski in lokalni viri</w:t>
            </w:r>
          </w:p>
        </w:tc>
        <w:tc>
          <w:tcPr>
            <w:tcW w:w="1900" w:type="dxa"/>
            <w:tcMar>
              <w:top w:w="60" w:type="dxa"/>
              <w:left w:w="100" w:type="dxa"/>
              <w:bottom w:w="60" w:type="dxa"/>
              <w:right w:w="100" w:type="dxa"/>
            </w:tcMar>
          </w:tcPr>
          <w:p w14:paraId="330BE57F" w14:textId="77777777" w:rsidR="00FF4048" w:rsidRDefault="0091113A">
            <w:r>
              <w:rPr>
                <w:color w:val="000000"/>
                <w:sz w:val="17"/>
                <w:szCs w:val="17"/>
              </w:rPr>
              <w:t>0.0000</w:t>
            </w:r>
          </w:p>
        </w:tc>
        <w:tc>
          <w:tcPr>
            <w:tcW w:w="1900" w:type="dxa"/>
            <w:tcMar>
              <w:top w:w="60" w:type="dxa"/>
              <w:left w:w="100" w:type="dxa"/>
              <w:bottom w:w="60" w:type="dxa"/>
              <w:right w:w="100" w:type="dxa"/>
            </w:tcMar>
          </w:tcPr>
          <w:p w14:paraId="330BE580" w14:textId="77777777" w:rsidR="00FF4048" w:rsidRDefault="0091113A">
            <w:r>
              <w:rPr>
                <w:color w:val="000000"/>
                <w:sz w:val="17"/>
                <w:szCs w:val="17"/>
              </w:rPr>
              <w:t>0%</w:t>
            </w:r>
          </w:p>
        </w:tc>
      </w:tr>
    </w:tbl>
    <w:p w14:paraId="330BE582" w14:textId="77777777" w:rsidR="00FF4048" w:rsidRDefault="0091113A">
      <w:pPr>
        <w:spacing w:before="40" w:after="200"/>
      </w:pPr>
      <w:r>
        <w:rPr>
          <w:i/>
          <w:iCs/>
          <w:color w:val="666666"/>
          <w:sz w:val="18"/>
          <w:szCs w:val="18"/>
        </w:rPr>
        <w:t xml:space="preserve">Tabela 1: Rezultat po plasteh in delež indikatorjev s podatkom, izračunan z run_svidnik.py na dejanskih podatkih iz pilot_data/svidnik.yaml.</w:t>
      </w:r>
    </w:p>
    <w:p w14:paraId="330BE583" w14:textId="77777777" w:rsidR="00FF4048" w:rsidRDefault="0091113A">
      <w:pPr>
        <w:spacing w:after="140" w:line="300" w:lineRule="auto"/>
      </w:pPr>
      <w:r>
        <w:rPr>
          <w:sz w:val="21"/>
          <w:szCs w:val="21"/>
        </w:rPr>
        <w:t xml:space="preserve">Sistem je samodejno izpisal 5 opozoril o nizki pokritosti podatkov (L3, L4, L5, L6, L7 - vse pod pragom 40%). Ta opozorila niso napaka, temveč zaželeno obnašanje: rezultat jasno pove, za katera področja je na voljo premalo podatkov, da bi bila ocena zanesljiva, namesto da bi to prikril.</w:t>
      </w:r>
    </w:p>
    <w:p w14:paraId="330BE584" w14:textId="77777777" w:rsidR="00FF4048" w:rsidRDefault="0091113A">
      <w:pPr>
        <w:spacing w:after="140" w:line="300" w:lineRule="auto"/>
      </w:pPr>
      <w:r>
        <w:rPr>
          <w:sz w:val="21"/>
          <w:szCs w:val="21"/>
        </w:rPr>
        <w:t xml:space="preserve">Vsak izračun je pospremljen tudi z dvema zgostitvenima vrednostma (SHA-256), ki natančno identificirata uporabljeno različico konfiguracije in podatkov:</w:t>
      </w:r>
    </w:p>
    <w:p w14:paraId="330BE585" w14:textId="77777777" w:rsidR="00FF4048" w:rsidRDefault="0091113A">
      <w:pPr>
        <w:spacing w:after="140" w:line="300" w:lineRule="auto"/>
      </w:pPr>
      <w:r>
        <w:rPr>
          <w:sz w:val="21"/>
          <w:szCs w:val="21"/>
        </w:rPr>
        <w:t>config_hash: sha256:84a01e7e30af2854eea70a5d325b1980086aa163163225ce12241c45303d99ce</w:t>
      </w:r>
    </w:p>
    <w:p w14:paraId="330BE586" w14:textId="77777777" w:rsidR="00FF4048" w:rsidRDefault="0091113A">
      <w:pPr>
        <w:spacing w:after="140" w:line="300" w:lineRule="auto"/>
      </w:pPr>
      <w:r>
        <w:rPr>
          <w:sz w:val="21"/>
          <w:szCs w:val="21"/>
        </w:rPr>
        <w:t>pilot_data_hash: sha256:3ed81a6ae8e6c83898809d381f30e3f0b27b2f04c3f0c66d450385f0ff3d6820</w:t>
      </w:r>
    </w:p>
    <w:p w14:paraId="330BE587" w14:textId="77777777" w:rsidR="00FF4048" w:rsidRDefault="0091113A">
      <w:pPr>
        <w:spacing w:after="140" w:line="300" w:lineRule="auto"/>
      </w:pPr>
      <w:r>
        <w:rPr>
          <w:sz w:val="21"/>
          <w:szCs w:val="21"/>
        </w:rPr>
        <w:t xml:space="preserve">S tem je mogoče vedno natančno preveriti, s katero različico podatkov je bil posamezen rezultat izračunan - kar je pomembno za ponovljivost, ko se podatki v prihodnje še dopolnjujejo.</w:t>
      </w:r>
    </w:p>
    <w:p w14:paraId="330BE588" w14:textId="77777777" w:rsidR="00FF4048" w:rsidRDefault="0091113A">
      <w:pPr>
        <w:pStyle w:val="Heading1"/>
        <w:pBdr>
          <w:bottom w:val="single" w:sz="6" w:space="4" w:color="1F4E5F"/>
        </w:pBdr>
        <w:spacing w:before="360" w:after="160"/>
      </w:pPr>
      <w:r>
        <w:rPr>
          <w:b/>
          <w:bCs/>
          <w:color w:val="1F4E5F"/>
          <w:sz w:val="30"/>
          <w:szCs w:val="30"/>
        </w:rPr>
        <w:t xml:space="preserve">Faza 6 - Backend (FastAPI)</w:t>
      </w:r>
    </w:p>
    <w:p w14:paraId="330BE589" w14:textId="77777777" w:rsidR="00FF4048" w:rsidRDefault="0091113A">
      <w:pPr>
        <w:spacing w:after="140" w:line="300" w:lineRule="auto"/>
      </w:pPr>
      <w:r>
        <w:rPr>
          <w:sz w:val="21"/>
          <w:szCs w:val="21"/>
        </w:rPr>
        <w:t xml:space="preserve">Na podlagi preverjene logike iz faze 5 je bil zgrajen backend v Pythonu (FastAPI), ki to isto logiko (normalizacija, plasti, Power9, BZ index) izpostavi kot spletni API, dosegljiv na http://127.0.0.1:8000. Backend ob zagonu (uvicorn) samodejno generira interaktivno dokumentacijo na naslovu /docs, kjer je mogoče vsak endpoint neposredno preizkusiti.</w:t>
      </w:r>
    </w:p>
    <w:p w14:paraId="330BE58A" w14:textId="77777777" w:rsidR="00FF4048" w:rsidRDefault="0091113A">
      <w:pPr>
        <w:spacing w:after="140" w:line="300" w:lineRule="auto"/>
      </w:pPr>
      <w:r>
        <w:rPr>
          <w:sz w:val="21"/>
          <w:szCs w:val="21"/>
        </w:rPr>
        <w:t xml:space="preserve">Preverjeni ključni endpointi: GET /api/pilots/svidnik/baseline (vrne celoten izračun iz faze 5, vključno s hashi in opozorili), GET /api/pilots/svidnik/recommendations (priporočila, glej fazo 8), GET /api/scenarios in POST /api/simulations (kaj-če simulacije, glej fazo 8). Delovanje backenda je bilo potrjeno tako prek Swagger vmesnika kot prek avtomatiziranih testov (faza 9).</w:t>
      </w:r>
    </w:p>
    <w:p w14:paraId="330BE58B" w14:textId="77777777" w:rsidR="00FF4048" w:rsidRDefault="0091113A">
      <w:pPr>
        <w:pStyle w:val="Heading1"/>
        <w:pBdr>
          <w:bottom w:val="single" w:sz="6" w:space="4" w:color="1F4E5F"/>
        </w:pBdr>
        <w:spacing w:before="360" w:after="160"/>
      </w:pPr>
      <w:r>
        <w:rPr>
          <w:b/>
          <w:bCs/>
          <w:color w:val="1F4E5F"/>
          <w:sz w:val="30"/>
          <w:szCs w:val="30"/>
        </w:rPr>
        <w:t xml:space="preserve">Faza 7 - Frontend</w:t>
      </w:r>
    </w:p>
    <w:p w14:paraId="330BE58C" w14:textId="77777777" w:rsidR="00FF4048" w:rsidRDefault="0091113A">
      <w:pPr>
        <w:spacing w:after="140" w:line="300" w:lineRule="auto"/>
      </w:pPr>
      <w:r>
        <w:rPr>
          <w:sz w:val="21"/>
          <w:szCs w:val="21"/>
        </w:rPr>
        <w:t xml:space="preserve">Frontend (React + TypeScript, Vite) je bil zgrajen tako, da ob nalaganju strani pokliče backend in prikaže rezultate faze 5 v pregledni obliki: skupni BZ index, tabelo rezultatov po plasteh z deležem pokritosti, tabelo devetih Power9 rezultatov ter tabelo vseh indikatorjev z dejansko vrednostjo (vključno z virom, letom, načinom preslikave in kakovostjo - torej isto preglednost, ki je opisana v poglavju 5.2, a neposredno v uporabniškem vmesniku). Dosegljiv je </w:t>
        <w:lastRenderedPageBreak/>
        <w:t xml:space="preserve">na http://localhost:5173 in je bil v praksi preverjen kot pravilno povezan z backendom (prikaže žive podatke, ne primer/testnih vrednosti).</w:t>
      </w:r>
    </w:p>
    <w:p w14:paraId="1A93C4F4" w14:textId="77777777" w:rsidR="00FF4048" w:rsidRDefault="0091113A">
      <w:pPr>
        <w:pStyle w:val="Heading2"/>
        <w:spacing w:before="260" w:after="120"/>
      </w:pPr>
      <w:r>
        <w:rPr>
          <w:b/>
          <w:bCs/>
          <w:color w:val="2E7D6B"/>
          <w:sz w:val="24"/>
          <w:szCs w:val="24"/>
        </w:rPr>
        <w:t xml:space="preserve">7.1 Vizualna zasnova (temna tema)</w:t>
      </w:r>
    </w:p>
    <w:p w14:paraId="10000001" w14:textId="77777777" w:rsidR="00FF4048" w:rsidRDefault="0091113A">
      <w:pPr>
        <w:spacing w:after="140" w:line="300" w:lineRule="auto"/>
      </w:pPr>
      <w:r>
        <w:rPr>
          <w:sz w:val="21"/>
          <w:szCs w:val="21"/>
        </w:rPr>
        <w:t xml:space="preserve">Na željo profesorja je bil uporabniški vmesnik oblikovan v temni temi, saj zmanjšuje obremenitev oči pri daljšem gledanju zaslonov s podatki. Oblikovanje temelji na premišljenem, ponovljivem sistemu barv in vzorcev namesto na naključnih vrednostih, kar olajša vzdrževanje in širitev vmesnika v prihodnje.</w:t>
      </w:r>
    </w:p>
    <w:p w14:paraId="008F207B" w14:textId="77777777" w:rsidR="00FF4048" w:rsidRDefault="0091113A">
      <w:pPr>
        <w:spacing w:before="180" w:after="80"/>
      </w:pPr>
      <w:r>
        <w:rPr>
          <w:b/>
          <w:bCs/>
          <w:color w:val="333333"/>
          <w:sz w:val="21"/>
          <w:szCs w:val="21"/>
        </w:rPr>
        <w:t xml:space="preserve">Barvni sistem (design tokens)</w:t>
      </w:r>
    </w:p>
    <w:p w14:paraId="6CA7CC0A" w14:textId="77777777" w:rsidR="00FF4048" w:rsidRDefault="0091113A">
      <w:pPr>
        <w:spacing w:after="140" w:line="300" w:lineRule="auto"/>
      </w:pPr>
      <w:r>
        <w:rPr>
          <w:sz w:val="21"/>
          <w:szCs w:val="21"/>
        </w:rPr>
        <w:t xml:space="preserve">Vse barve so definirane centralno kot CSS spremenljivke: --bg, --surface in --surface-2 za tri nivoje temnega ozadja (stran, kartica, vgnezdena ploščica); --text, --text-muted in --text-faint za tri nivoje berljivosti besedila (glavno, sekundarno, najmanj pomembno); --accent (tirkizna, #3DD9B4) kot edina poudarjalna barva za zanesljive/pozitivne vrednosti; --warn (jantarna, #F2B544) izključno za opozorila (nizka pokritost podatkov, indikatorji z oznako 'needs_review'). Ker so vrednosti definirane na enem mestu, se sprememba barve samodejno odrazi povsod po vmesniku.</w:t>
      </w:r>
    </w:p>
    <w:p w14:paraId="4DDF9249" w14:textId="77777777" w:rsidR="00FF4048" w:rsidRDefault="0091113A">
      <w:pPr>
        <w:spacing w:before="180" w:after="80"/>
      </w:pPr>
      <w:r>
        <w:rPr>
          <w:b/>
          <w:bCs/>
          <w:color w:val="333333"/>
          <w:sz w:val="21"/>
          <w:szCs w:val="21"/>
        </w:rPr>
        <w:t xml:space="preserve">Kartice (card pattern)</w:t>
      </w:r>
    </w:p>
    <w:p w14:paraId="10000002" w14:textId="77777777" w:rsidR="00FF4048" w:rsidRDefault="0091113A">
      <w:pPr>
        <w:spacing w:after="140" w:line="300" w:lineRule="auto"/>
      </w:pPr>
      <w:r>
        <w:rPr>
          <w:sz w:val="21"/>
          <w:szCs w:val="21"/>
        </w:rPr>
        <w:t xml:space="preserve">Vsaka vsebinska sekcija (BZ indeks, ocene po slojih, Power9 ocene, vhodni indikatorji, Scenario Builder, rezultat simulacije) je prikazana kot zaokrožena kartica s svetlejšim ozadjem na temnejši podlagi strani, kar ustvari vizualno globino brez uporabe senc. Posebni različici kartice (npr. opozorilna kartica z jantarnim robom za sekcijo 'Opozorila') sta narejeni z dodatnim CSS razredom, ki nadgradi osnovni videz kartice, ne da bi ga podvajal.</w:t>
      </w:r>
    </w:p>
    <w:p w14:paraId="10000003" w14:textId="77777777" w:rsidR="00FF4048" w:rsidRDefault="0091113A">
      <w:pPr>
        <w:spacing w:before="180" w:after="80"/>
      </w:pPr>
      <w:r>
        <w:rPr>
          <w:b/>
          <w:bCs/>
          <w:color w:val="333333"/>
          <w:sz w:val="21"/>
          <w:szCs w:val="21"/>
        </w:rPr>
        <w:t xml:space="preserve">Postavitev (Flexbox in CSS Grid)</w:t>
      </w:r>
    </w:p>
    <w:p w14:paraId="10000004" w14:textId="77777777" w:rsidR="00FF4048" w:rsidRDefault="0091113A">
      <w:pPr>
        <w:spacing w:after="140" w:line="300" w:lineRule="auto"/>
      </w:pPr>
      <w:r>
        <w:rPr>
          <w:sz w:val="21"/>
          <w:szCs w:val="21"/>
        </w:rPr>
        <w:t xml:space="preserve">Enodimenzionalne postavitve (razporeditev kartic ena pod drugo, seznami opozoril in indikatorjev scenarija) uporabljajo CSS Flexbox, dvodimenzionalne mreže (devet Power9 ploščic, tri ključne statistike rezultata simulacije) pa CSS Grid. Oboje nadomešča ročno nastavljanje razmikov med elementi z enotnim in doslednim razmikom (gap).</w:t>
      </w:r>
    </w:p>
    <w:p w14:paraId="6879EE60" w14:textId="77777777" w:rsidR="00FF4048" w:rsidRDefault="0091113A">
      <w:pPr>
        <w:spacing w:before="180" w:after="80"/>
      </w:pPr>
      <w:r>
        <w:rPr>
          <w:b/>
          <w:bCs/>
          <w:color w:val="333333"/>
          <w:sz w:val="21"/>
          <w:szCs w:val="21"/>
        </w:rPr>
        <w:t xml:space="preserve">Pogojno obarvane značke in vrednosti</w:t>
      </w:r>
    </w:p>
    <w:p w14:paraId="7912796C" w14:textId="77777777" w:rsidR="00FF4048" w:rsidRDefault="0091113A">
      <w:pPr>
        <w:spacing w:after="140" w:line="300" w:lineRule="auto"/>
      </w:pPr>
      <w:r>
        <w:rPr>
          <w:sz w:val="21"/>
          <w:szCs w:val="21"/>
        </w:rPr>
        <w:t xml:space="preserve">Kategorialni podatki (tip mapiranja, kakovost indikatorja, predznak spremembe pri kaj-če simulaciji) so prikazani kot majhne zaobljene značke, katerih barva se določi dinamično glede na vrednost - npr. kakovost 'official' in tip mapiranja 'exact' sta obarvana tirkizno kot zanesljiva, 'needs_review' pa jantarno kot opozorilo za ročni pregled. Enak princip velja za rezultate simulacije, kjer je izboljšanje (pozitivna sprememba BZ indeksa) prikazano tirkizno, poslabšanje pa jantarno. S tem je presoja zanesljivosti oziroma smeri spremembe razvidna na prvi pogled, brez branja vsake vrednosti posebej.</w:t>
      </w:r>
    </w:p>
    <w:p w14:paraId="4A878605" w14:textId="77777777" w:rsidR="00FF4048" w:rsidRDefault="0091113A">
      <w:pPr>
        <w:spacing w:before="180" w:after="80"/>
      </w:pPr>
      <w:r>
        <w:rPr>
          <w:b/>
          <w:bCs/>
          <w:color w:val="333333"/>
          <w:sz w:val="21"/>
          <w:szCs w:val="21"/>
        </w:rPr>
        <w:t xml:space="preserve">Odzivnost (responsive design)</w:t>
      </w:r>
    </w:p>
    <w:p w14:paraId="2C85A3F5" w14:textId="77777777" w:rsidR="00FF4048" w:rsidRDefault="0091113A">
      <w:pPr>
        <w:spacing w:after="140" w:line="300" w:lineRule="auto"/>
      </w:pPr>
      <w:r>
        <w:rPr>
          <w:sz w:val="21"/>
          <w:szCs w:val="21"/>
        </w:rPr>
        <w:t xml:space="preserve">Za manjše zaslone (mobilne naprave, širina do 640px) je dodan medijski poizvedbeni (media query) blok, ki zmanjša notranje robove kartic, pomanjša velikost glavnega naslova in zoži Power9/rezultatsko mrežo iz treh na dva stolpca. Najširša tabela (vhodni indikatorji, šest stolpcev) dobi lasten vodoravni drsnik, da se njena vsebina na ozkem zaslonu ne stisne do nečitljivosti.</w:t>
      </w:r>
    </w:p>
    <w:p w14:paraId="330BE58D" w14:textId="77777777" w:rsidR="00FF4048" w:rsidRDefault="0091113A">
      <w:pPr>
        <w:pStyle w:val="Heading1"/>
        <w:pBdr>
          <w:bottom w:val="single" w:sz="6" w:space="4" w:color="1F4E5F"/>
        </w:pBdr>
        <w:spacing w:before="360" w:after="160"/>
      </w:pPr>
      <w:r>
        <w:rPr>
          <w:b/>
          <w:bCs/>
          <w:color w:val="1F4E5F"/>
          <w:sz w:val="30"/>
          <w:szCs w:val="30"/>
        </w:rPr>
        <w:t xml:space="preserve">Faza 8 - Scenario API + UI (kaj-če simulacije)</w:t>
      </w:r>
    </w:p>
    <w:p w14:paraId="330BE58E" w14:textId="77777777" w:rsidR="00FF4048" w:rsidRDefault="0091113A">
      <w:pPr>
        <w:spacing w:after="140" w:line="300" w:lineRule="auto"/>
      </w:pPr>
      <w:r>
        <w:rPr>
          <w:sz w:val="21"/>
          <w:szCs w:val="21"/>
        </w:rPr>
        <w:t xml:space="preserve">Nad preverjenim osnovnim stanjem (baseline) je bila dodana zmožnost simulacije: pet vnaprej pripravljenih paketov ukrepov (npr. izboljšanje hoje/dostopnosti, dostopa do zdrave hrane, socialne povezanosti, zelenih površin, aktivnega staranja), od katerih vsak spremeni določene indikatorje za dokumentirano relativno vrednost. Backend endpoint POST /api/simulations ponovno izračuna cel model na spremenjenih podatkih (na kopiji, brez spreminjanja izvirnih vrednosti) in vrne razliko (delta) glede na osnovno stanje. V frontendu je to dostopno prek 'Scenario Builder' vmesnika, kjer uporabnik izbere paket in sproži simulacijo, rezultat pa je jasno označen kot simuliran učinek, ne kot dokazana vzročno-posledična napoved.</w:t>
      </w:r>
    </w:p>
    <w:p w14:paraId="330BE58F" w14:textId="77777777" w:rsidR="00FF4048" w:rsidRDefault="0091113A">
      <w:pPr>
        <w:pStyle w:val="Heading1"/>
        <w:pBdr>
          <w:bottom w:val="single" w:sz="6" w:space="4" w:color="1F4E5F"/>
        </w:pBdr>
        <w:spacing w:before="360" w:after="160"/>
      </w:pPr>
      <w:r>
        <w:rPr>
          <w:b/>
          <w:bCs/>
          <w:color w:val="1F4E5F"/>
          <w:sz w:val="30"/>
          <w:szCs w:val="30"/>
        </w:rPr>
        <w:t xml:space="preserve">Faza 9 - Testiranje in dokumentacija</w:t>
      </w:r>
    </w:p>
    <w:p w14:paraId="330BE590" w14:textId="77777777" w:rsidR="00FF4048" w:rsidRDefault="0091113A">
      <w:pPr>
        <w:spacing w:after="140" w:line="300" w:lineRule="auto"/>
      </w:pPr>
      <w:r>
        <w:rPr>
          <w:sz w:val="21"/>
          <w:szCs w:val="21"/>
        </w:rPr>
        <w:t xml:space="preserve">Da bi se preprečilo, da bi morebitna napaka v logiki iz faz 5-8 ostala neopažena, je bil pripravljen avtomatiziran nabor testov (pytest), ki preverja: pravilnost normalizacije in smeri indikatorjev (da se npr. napaka kot pri x44 ne bi ponovila neopaženo), pravilnost izračuna plasti/Power9/BZ indeksa, nalaganje in validacijo konfiguracije ter pilotnih podatkov, determinizem sledljivostnih hashev, pravilnost razvrščanja priporočil ter da simulacija scenarija ne spreminja izvirnih podatkov. Skupno je bilo pripravljenih 82 testov, vsi so uspešno prestani (82 passed). To poročilo samo je del te faze - dokumentira, kako in zakaj je bila vsaka podatkovna odločitev sprejeta.</w:t>
      </w:r>
    </w:p>
    <w:p w14:paraId="330BE591" w14:textId="77777777" w:rsidR="00FF4048" w:rsidRDefault="0091113A">
      <w:pPr>
        <w:pStyle w:val="Heading1"/>
        <w:pBdr>
          <w:bottom w:val="single" w:sz="6" w:space="4" w:color="1F4E5F"/>
        </w:pBdr>
        <w:spacing w:before="360" w:after="160"/>
      </w:pPr>
      <w:r>
        <w:rPr>
          <w:b/>
          <w:bCs/>
          <w:color w:val="1F4E5F"/>
          <w:sz w:val="30"/>
          <w:szCs w:val="30"/>
        </w:rPr>
        <w:t xml:space="preserve">Zaključek - ocena ustreznosti logike</w:t>
      </w:r>
    </w:p>
    <w:p w14:paraId="330BE592" w14:textId="77777777" w:rsidR="00FF4048" w:rsidRDefault="0091113A">
      <w:pPr>
        <w:spacing w:after="140" w:line="300" w:lineRule="auto"/>
      </w:pPr>
      <w:r>
        <w:rPr>
          <w:sz w:val="21"/>
          <w:szCs w:val="21"/>
        </w:rPr>
        <w:t xml:space="preserve">Vsaka vključena vrednost je sledljiva do konkretnega vira in ima dokumentirano utemeljitev, če ni neposredna meritev. Vsaka manjkajoča vrednost je zavestno puščena manjkajoča, namesto da bi bila izmišljena, in to je razvidno v končnem rezultatu prek deleža pokritosti podatkov in opozoril. Vsaka pretvorba (enote, smer lestvice) je preverjena s testi. Na tej podlagi ocenjujemo, da logika priprave in uporabe podatkov ne uvaja neopaženih napak v nadaljnje faze (backend, frontend, priporočila, simulacije) - morebitne slabosti (npr. x14 kot 'needs_review') so eksplicitno označene, tako da jih je mogoče zavestno obravnavati, namesto da bi ostale skrite v končnem številu.</w:t>
      </w:r>
    </w:p>
    <w:sectPr w:rsidR="00FF404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B3793" w14:textId="77777777" w:rsidR="0091113A" w:rsidRDefault="0091113A">
      <w:r>
        <w:separator/>
      </w:r>
    </w:p>
  </w:endnote>
  <w:endnote w:type="continuationSeparator" w:id="0">
    <w:p w14:paraId="2049A1A9" w14:textId="77777777" w:rsidR="0091113A" w:rsidRDefault="00911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E594" w14:textId="58565042" w:rsidR="00FF4048" w:rsidRDefault="0091113A">
    <w:pPr>
      <w:jc w:val="center"/>
    </w:pPr>
    <w:r>
      <w:rPr>
        <w:color w:val="999999"/>
        <w:sz w:val="16"/>
        <w:szCs w:val="16"/>
      </w:rPr>
      <w:t xml:space="preserve">Stran </w:t>
    </w:r>
    <w:r>
      <w:rPr>
        <w:color w:val="999999"/>
        <w:sz w:val="16"/>
        <w:szCs w:val="16"/>
      </w:rPr>
      <w:fldChar w:fldCharType="begin"/>
    </w:r>
    <w:r>
      <w:rPr>
        <w:color w:val="999999"/>
        <w:sz w:val="16"/>
        <w:szCs w:val="16"/>
      </w:rPr>
      <w:instrText>PAGE</w:instrText>
    </w:r>
    <w:r>
      <w:rPr>
        <w:color w:val="999999"/>
        <w:sz w:val="16"/>
        <w:szCs w:val="16"/>
      </w:rPr>
      <w:fldChar w:fldCharType="separate"/>
    </w:r>
    <w:r w:rsidR="00746566">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613F8" w14:textId="77777777" w:rsidR="0091113A" w:rsidRDefault="0091113A">
      <w:r>
        <w:separator/>
      </w:r>
    </w:p>
  </w:footnote>
  <w:footnote w:type="continuationSeparator" w:id="0">
    <w:p w14:paraId="5DEB04D3" w14:textId="77777777" w:rsidR="0091113A" w:rsidRDefault="00911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E593" w14:textId="77777777" w:rsidR="00FF4048" w:rsidRDefault="0091113A">
    <w:pPr>
      <w:jc w:val="right"/>
    </w:pPr>
    <w:r>
      <w:rPr>
        <w:color w:val="999999"/>
        <w:sz w:val="16"/>
        <w:szCs w:val="16"/>
      </w:rPr>
      <w:t xml:space="preserve">BLUETWIN-CE - </w:t>
    </w:r>
    <w:proofErr w:type="spellStart"/>
    <w:r>
      <w:rPr>
        <w:color w:val="999999"/>
        <w:sz w:val="16"/>
        <w:szCs w:val="16"/>
      </w:rPr>
      <w:t>Svidník</w:t>
    </w:r>
    <w:proofErr w:type="spellEnd"/>
    <w:r>
      <w:rPr>
        <w:color w:val="999999"/>
        <w:sz w:val="16"/>
        <w:szCs w:val="16"/>
      </w:rPr>
      <w:t xml:space="preserve"> - </w:t>
    </w:r>
    <w:proofErr w:type="spellStart"/>
    <w:r>
      <w:rPr>
        <w:color w:val="999999"/>
        <w:sz w:val="16"/>
        <w:szCs w:val="16"/>
      </w:rPr>
      <w:t>Faza</w:t>
    </w:r>
    <w:proofErr w:type="spellEnd"/>
    <w:r>
      <w:rPr>
        <w:color w:val="999999"/>
        <w:sz w:val="16"/>
        <w:szCs w:val="16"/>
      </w:rPr>
      <w:t xml:space="preserve"> 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7A8A"/>
    <w:multiLevelType w:val="hybridMultilevel"/>
    <w:tmpl w:val="999A2BBC"/>
    <w:lvl w:ilvl="0" w:tplc="2B3E704A">
      <w:start w:val="1"/>
      <w:numFmt w:val="bullet"/>
      <w:lvlText w:val="•"/>
      <w:lvlJc w:val="left"/>
      <w:pPr>
        <w:ind w:left="460" w:hanging="260"/>
      </w:pPr>
    </w:lvl>
    <w:lvl w:ilvl="1" w:tplc="35EE68EA">
      <w:numFmt w:val="decimal"/>
      <w:lvlText w:val=""/>
      <w:lvlJc w:val="left"/>
    </w:lvl>
    <w:lvl w:ilvl="2" w:tplc="76E48CA4">
      <w:numFmt w:val="decimal"/>
      <w:lvlText w:val=""/>
      <w:lvlJc w:val="left"/>
    </w:lvl>
    <w:lvl w:ilvl="3" w:tplc="D514E888">
      <w:numFmt w:val="decimal"/>
      <w:lvlText w:val=""/>
      <w:lvlJc w:val="left"/>
    </w:lvl>
    <w:lvl w:ilvl="4" w:tplc="67BE6740">
      <w:numFmt w:val="decimal"/>
      <w:lvlText w:val=""/>
      <w:lvlJc w:val="left"/>
    </w:lvl>
    <w:lvl w:ilvl="5" w:tplc="9FA613F8">
      <w:numFmt w:val="decimal"/>
      <w:lvlText w:val=""/>
      <w:lvlJc w:val="left"/>
    </w:lvl>
    <w:lvl w:ilvl="6" w:tplc="5F001A42">
      <w:numFmt w:val="decimal"/>
      <w:lvlText w:val=""/>
      <w:lvlJc w:val="left"/>
    </w:lvl>
    <w:lvl w:ilvl="7" w:tplc="9B00C26C">
      <w:numFmt w:val="decimal"/>
      <w:lvlText w:val=""/>
      <w:lvlJc w:val="left"/>
    </w:lvl>
    <w:lvl w:ilvl="8" w:tplc="3BF47E04">
      <w:numFmt w:val="decimal"/>
      <w:lvlText w:val=""/>
      <w:lvlJc w:val="left"/>
    </w:lvl>
  </w:abstractNum>
  <w:abstractNum w:abstractNumId="1" w15:restartNumberingAfterBreak="0">
    <w:nsid w:val="6A632973"/>
    <w:multiLevelType w:val="hybridMultilevel"/>
    <w:tmpl w:val="A2EC9F4C"/>
    <w:lvl w:ilvl="0" w:tplc="C1709446">
      <w:start w:val="1"/>
      <w:numFmt w:val="bullet"/>
      <w:lvlText w:val="●"/>
      <w:lvlJc w:val="left"/>
      <w:pPr>
        <w:ind w:left="720" w:hanging="360"/>
      </w:pPr>
    </w:lvl>
    <w:lvl w:ilvl="1" w:tplc="B296B94C">
      <w:start w:val="1"/>
      <w:numFmt w:val="bullet"/>
      <w:lvlText w:val="○"/>
      <w:lvlJc w:val="left"/>
      <w:pPr>
        <w:ind w:left="1440" w:hanging="360"/>
      </w:pPr>
    </w:lvl>
    <w:lvl w:ilvl="2" w:tplc="464C26F8">
      <w:start w:val="1"/>
      <w:numFmt w:val="bullet"/>
      <w:lvlText w:val="■"/>
      <w:lvlJc w:val="left"/>
      <w:pPr>
        <w:ind w:left="2160" w:hanging="360"/>
      </w:pPr>
    </w:lvl>
    <w:lvl w:ilvl="3" w:tplc="65C46568">
      <w:start w:val="1"/>
      <w:numFmt w:val="bullet"/>
      <w:lvlText w:val="●"/>
      <w:lvlJc w:val="left"/>
      <w:pPr>
        <w:ind w:left="2880" w:hanging="360"/>
      </w:pPr>
    </w:lvl>
    <w:lvl w:ilvl="4" w:tplc="DF569F94">
      <w:start w:val="1"/>
      <w:numFmt w:val="bullet"/>
      <w:lvlText w:val="○"/>
      <w:lvlJc w:val="left"/>
      <w:pPr>
        <w:ind w:left="3600" w:hanging="360"/>
      </w:pPr>
    </w:lvl>
    <w:lvl w:ilvl="5" w:tplc="63AC51A2">
      <w:start w:val="1"/>
      <w:numFmt w:val="bullet"/>
      <w:lvlText w:val="■"/>
      <w:lvlJc w:val="left"/>
      <w:pPr>
        <w:ind w:left="4320" w:hanging="360"/>
      </w:pPr>
    </w:lvl>
    <w:lvl w:ilvl="6" w:tplc="294A811C">
      <w:start w:val="1"/>
      <w:numFmt w:val="bullet"/>
      <w:lvlText w:val="●"/>
      <w:lvlJc w:val="left"/>
      <w:pPr>
        <w:ind w:left="5040" w:hanging="360"/>
      </w:pPr>
    </w:lvl>
    <w:lvl w:ilvl="7" w:tplc="7A1E3A48">
      <w:start w:val="1"/>
      <w:numFmt w:val="bullet"/>
      <w:lvlText w:val="●"/>
      <w:lvlJc w:val="left"/>
      <w:pPr>
        <w:ind w:left="5760" w:hanging="360"/>
      </w:pPr>
    </w:lvl>
    <w:lvl w:ilvl="8" w:tplc="64DE2A84">
      <w:start w:val="1"/>
      <w:numFmt w:val="bullet"/>
      <w:lvlText w:val="●"/>
      <w:lvlJc w:val="left"/>
      <w:pPr>
        <w:ind w:left="6480" w:hanging="360"/>
      </w:pPr>
    </w:lvl>
  </w:abstractNum>
  <w:num w:numId="1" w16cid:durableId="11848307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048"/>
    <w:rsid w:val="000A747A"/>
    <w:rsid w:val="00575FB5"/>
    <w:rsid w:val="00746566"/>
    <w:rsid w:val="0091113A"/>
    <w:rsid w:val="00AA5CDE"/>
    <w:rsid w:val="00C5165C"/>
    <w:rsid w:val="00C95271"/>
    <w:rsid w:val="00E14387"/>
    <w:rsid w:val="00FF4048"/>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BE532"/>
  <w15:docId w15:val="{77BF27AD-C52A-4FDD-82D8-F33CFC85B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I" w:eastAsia="en-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1749</Words>
  <Characters>9975</Characters>
  <Application>Microsoft Office Word</Application>
  <DocSecurity>0</DocSecurity>
  <Lines>83</Lines>
  <Paragraphs>23</Paragraphs>
  <ScaleCrop>false</ScaleCrop>
  <Company/>
  <LinksUpToDate>false</LinksUpToDate>
  <CharactersWithSpaces>11701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Tilen Mermal pačnik</cp:lastModifiedBy>
  <cp:revision>2</cp:revision>
  <dcterms:created xsi:type="dcterms:W3CDTF">2026-09-29T15:01:00Z</dcterms:created>
  <dcterms:modified xsi:type="dcterms:W3CDTF">2026-09-29T15:01:00Z</dcterms:modified>
</cp:coreProperties>
</file>