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4EE07114" w14:textId="2AC3782A" w:rsidR="00F57BD5" w:rsidRDefault="00F57BD5" w:rsidP="00F57B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An-Nuur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23F9EDA1" w:rsidR="00267424" w:rsidRDefault="00C3100C" w:rsidP="003F439A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3100C">
        <w:rPr>
          <w:rFonts w:ascii="Traditional Arabic" w:hAnsi="Traditional Arabic" w:cs="Traditional Arabic"/>
          <w:sz w:val="36"/>
          <w:szCs w:val="36"/>
          <w:rtl/>
        </w:rPr>
        <w:t>سُوۡرَةٌ اَنۡزَلۡنٰهَا وَفَرَضۡنٰهَا وَاَنۡزَلۡنَا فِيۡهَاۤ اٰيٰتٍۭ بَيِّنٰتٍ لَّعَلَّكُمۡ تَذَكَّرُوۡنَ</w:t>
      </w:r>
      <w:r w:rsidRPr="00C3100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C3100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C3100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</w:p>
    <w:p w14:paraId="461DFF52" w14:textId="478BFC70" w:rsidR="00F57BD5" w:rsidRDefault="00F57BD5" w:rsidP="00F74A33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74A33">
        <w:rPr>
          <w:rFonts w:ascii="Traditional Arabic" w:hAnsi="Traditional Arabic" w:cs="Traditional Arabic"/>
          <w:color w:val="FF0000"/>
          <w:sz w:val="36"/>
          <w:szCs w:val="36"/>
          <w:rtl/>
        </w:rPr>
        <w:t>سُوۡ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رَ</w:t>
      </w:r>
      <w:r w:rsidRPr="00F74A33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ةٌ اَ</w:t>
      </w:r>
      <w:r w:rsidRPr="00F74A33">
        <w:rPr>
          <w:rFonts w:ascii="Traditional Arabic" w:hAnsi="Traditional Arabic" w:cs="Traditional Arabic"/>
          <w:color w:val="FFFF00"/>
          <w:sz w:val="36"/>
          <w:szCs w:val="36"/>
          <w:rtl/>
        </w:rPr>
        <w:t>نۡزَل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ۡ</w:t>
      </w:r>
      <w:r w:rsidRPr="00F74A33">
        <w:rPr>
          <w:rFonts w:ascii="Traditional Arabic" w:hAnsi="Traditional Arabic" w:cs="Traditional Arabic"/>
          <w:color w:val="FF0000"/>
          <w:sz w:val="36"/>
          <w:szCs w:val="36"/>
          <w:rtl/>
        </w:rPr>
        <w:t>نٰهَا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F74A33" w:rsidRPr="00F74A33">
        <w:rPr>
          <w:rFonts w:asciiTheme="majorBidi" w:hAnsiTheme="majorBidi" w:cstheme="majorBidi"/>
          <w:color w:val="FF0000"/>
          <w:sz w:val="24"/>
          <w:szCs w:val="24"/>
        </w:rPr>
        <w:t>Mad Thobi’i</w:t>
      </w:r>
      <w:r w:rsidR="00F74A33" w:rsidRPr="00F74A33">
        <w:rPr>
          <w:rFonts w:asciiTheme="majorBidi" w:hAnsiTheme="majorBidi" w:cstheme="majorBidi"/>
          <w:sz w:val="24"/>
          <w:szCs w:val="24"/>
        </w:rPr>
        <w:t xml:space="preserve">, </w:t>
      </w:r>
      <w:r w:rsidR="00F74A33" w:rsidRPr="00F74A33">
        <w:rPr>
          <w:rFonts w:asciiTheme="majorBidi" w:hAnsiTheme="majorBidi" w:cstheme="majorBidi"/>
          <w:color w:val="4472C4" w:themeColor="accent1"/>
          <w:sz w:val="24"/>
          <w:szCs w:val="24"/>
        </w:rPr>
        <w:t>Idzhar Halqi</w:t>
      </w:r>
      <w:r w:rsidR="00F74A33" w:rsidRPr="00F74A33">
        <w:rPr>
          <w:rFonts w:asciiTheme="majorBidi" w:hAnsiTheme="majorBidi" w:cstheme="majorBidi"/>
          <w:sz w:val="24"/>
          <w:szCs w:val="24"/>
        </w:rPr>
        <w:t xml:space="preserve">, </w:t>
      </w:r>
      <w:r w:rsidR="00F74A33" w:rsidRPr="00F74A33">
        <w:rPr>
          <w:rFonts w:asciiTheme="majorBidi" w:hAnsiTheme="majorBidi" w:cstheme="majorBidi"/>
          <w:color w:val="FFFF00"/>
          <w:sz w:val="24"/>
          <w:szCs w:val="24"/>
        </w:rPr>
        <w:t>Ikhfa’ Haqiqi</w:t>
      </w:r>
    </w:p>
    <w:p w14:paraId="370554D4" w14:textId="4B287C4B" w:rsidR="00F57BD5" w:rsidRPr="00F74A33" w:rsidRDefault="00F57BD5" w:rsidP="00F74A33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3100C">
        <w:rPr>
          <w:rFonts w:ascii="Traditional Arabic" w:hAnsi="Traditional Arabic" w:cs="Traditional Arabic"/>
          <w:sz w:val="36"/>
          <w:szCs w:val="36"/>
          <w:rtl/>
        </w:rPr>
        <w:t>وَفَرَضۡ</w:t>
      </w:r>
      <w:r w:rsidRPr="00F74A33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نٰهَا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F74A33" w:rsidRPr="00F74A33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748D1A39" w14:textId="277719EA" w:rsidR="00F57BD5" w:rsidRPr="00F74A33" w:rsidRDefault="00F57BD5" w:rsidP="00F74A33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C3100C">
        <w:rPr>
          <w:rFonts w:ascii="Traditional Arabic" w:hAnsi="Traditional Arabic" w:cs="Traditional Arabic"/>
          <w:sz w:val="36"/>
          <w:szCs w:val="36"/>
          <w:rtl/>
        </w:rPr>
        <w:t>وَاَ</w:t>
      </w:r>
      <w:r w:rsidRPr="00F74A33">
        <w:rPr>
          <w:rFonts w:ascii="Traditional Arabic" w:hAnsi="Traditional Arabic" w:cs="Traditional Arabic"/>
          <w:color w:val="FF0000"/>
          <w:sz w:val="36"/>
          <w:szCs w:val="36"/>
          <w:rtl/>
        </w:rPr>
        <w:t>نۡزَ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لۡن</w:t>
      </w:r>
      <w:r w:rsidRPr="00F74A33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F74A33" w:rsidRPr="00F74A33">
        <w:rPr>
          <w:rFonts w:asciiTheme="majorBidi" w:hAnsiTheme="majorBidi" w:cstheme="majorBidi"/>
          <w:color w:val="FF0000"/>
          <w:sz w:val="24"/>
          <w:szCs w:val="24"/>
        </w:rPr>
        <w:t>Ikhfa’ Haqiqi</w:t>
      </w:r>
      <w:r w:rsidR="00F74A33" w:rsidRPr="00F74A33">
        <w:rPr>
          <w:rFonts w:asciiTheme="majorBidi" w:hAnsiTheme="majorBidi" w:cstheme="majorBidi"/>
          <w:sz w:val="24"/>
          <w:szCs w:val="24"/>
        </w:rPr>
        <w:t xml:space="preserve">, </w:t>
      </w:r>
      <w:r w:rsidR="00F74A33" w:rsidRPr="00F74A33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4A93E01A" w14:textId="49E99BA8" w:rsidR="00F57BD5" w:rsidRDefault="00F57BD5" w:rsidP="00F74A33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74A33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فِيۡ</w:t>
      </w:r>
      <w:r w:rsidRPr="00F74A33">
        <w:rPr>
          <w:rFonts w:ascii="Traditional Arabic" w:hAnsi="Traditional Arabic" w:cs="Traditional Arabic"/>
          <w:color w:val="FF0000"/>
          <w:sz w:val="36"/>
          <w:szCs w:val="36"/>
          <w:rtl/>
        </w:rPr>
        <w:t>هَاۤ ا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ٰي</w:t>
      </w:r>
      <w:r w:rsidRPr="00F74A33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ٰ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تٍۭ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F74A33" w:rsidRPr="00F74A33">
        <w:rPr>
          <w:rFonts w:ascii="Times New Roman" w:hAnsi="Times New Roman" w:cs="Times New Roman"/>
          <w:color w:val="4472C4" w:themeColor="accent1"/>
          <w:sz w:val="24"/>
          <w:szCs w:val="24"/>
        </w:rPr>
        <w:t>Mad Thobi’i / Mad Asli</w:t>
      </w:r>
      <w:r w:rsidR="00F74A33" w:rsidRPr="00F74A33">
        <w:rPr>
          <w:rFonts w:ascii="Times New Roman" w:hAnsi="Times New Roman" w:cs="Times New Roman"/>
          <w:sz w:val="24"/>
          <w:szCs w:val="24"/>
        </w:rPr>
        <w:t xml:space="preserve">, </w:t>
      </w:r>
      <w:r w:rsidR="00F74A33" w:rsidRPr="00F74A33">
        <w:rPr>
          <w:rFonts w:ascii="Times New Roman" w:hAnsi="Times New Roman" w:cs="Times New Roman"/>
          <w:color w:val="FF0000"/>
          <w:sz w:val="24"/>
          <w:szCs w:val="24"/>
        </w:rPr>
        <w:t>Mad Jaiz Munfashil</w:t>
      </w:r>
    </w:p>
    <w:p w14:paraId="2D2AB62E" w14:textId="6437EFDC" w:rsidR="00F57BD5" w:rsidRDefault="00F74A33" w:rsidP="00F74A33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74A33">
        <w:rPr>
          <w:rFonts w:ascii="Traditional Arabic" w:hAnsi="Traditional Arabic" w:cs="Traditional Arabic"/>
          <w:color w:val="7030A0"/>
          <w:sz w:val="36"/>
          <w:szCs w:val="36"/>
          <w:rtl/>
        </w:rPr>
        <w:t>اٰيٰ</w:t>
      </w:r>
      <w:r w:rsidR="00F57BD5" w:rsidRPr="00F74A33">
        <w:rPr>
          <w:rFonts w:ascii="Traditional Arabic" w:hAnsi="Traditional Arabic" w:cs="Traditional Arabic"/>
          <w:color w:val="FF0000"/>
          <w:sz w:val="36"/>
          <w:szCs w:val="36"/>
          <w:rtl/>
        </w:rPr>
        <w:t>تٍۭ بَيّ</w:t>
      </w:r>
      <w:r w:rsidR="00F57BD5" w:rsidRPr="00C3100C">
        <w:rPr>
          <w:rFonts w:ascii="Traditional Arabic" w:hAnsi="Traditional Arabic" w:cs="Traditional Arabic"/>
          <w:sz w:val="36"/>
          <w:szCs w:val="36"/>
          <w:rtl/>
        </w:rPr>
        <w:t>ِ</w:t>
      </w:r>
      <w:r w:rsidR="00F57BD5" w:rsidRPr="00F74A33">
        <w:rPr>
          <w:rFonts w:ascii="Traditional Arabic" w:hAnsi="Traditional Arabic" w:cs="Traditional Arabic"/>
          <w:color w:val="7030A0"/>
          <w:sz w:val="36"/>
          <w:szCs w:val="36"/>
          <w:rtl/>
        </w:rPr>
        <w:t>نٰ</w:t>
      </w:r>
      <w:r w:rsidR="00F57BD5" w:rsidRPr="00C3100C">
        <w:rPr>
          <w:rFonts w:ascii="Traditional Arabic" w:hAnsi="Traditional Arabic" w:cs="Traditional Arabic"/>
          <w:sz w:val="36"/>
          <w:szCs w:val="36"/>
          <w:rtl/>
        </w:rPr>
        <w:t>تٍ</w:t>
      </w:r>
      <w:r w:rsidR="00F57BD5">
        <w:rPr>
          <w:rFonts w:ascii="Traditional Arabic" w:hAnsi="Traditional Arabic" w:cs="Traditional Arabic"/>
          <w:sz w:val="36"/>
          <w:szCs w:val="36"/>
        </w:rPr>
        <w:tab/>
      </w:r>
      <w:r w:rsidR="00F57BD5">
        <w:rPr>
          <w:rFonts w:ascii="Traditional Arabic" w:hAnsi="Traditional Arabic" w:cs="Traditional Arabic"/>
          <w:sz w:val="36"/>
          <w:szCs w:val="36"/>
        </w:rPr>
        <w:tab/>
        <w:t>:</w:t>
      </w:r>
      <w:r w:rsidRPr="00F74A33">
        <w:rPr>
          <w:rFonts w:ascii="Times New Roman" w:hAnsi="Times New Roman" w:cs="Times New Roman"/>
          <w:color w:val="7030A0"/>
          <w:sz w:val="24"/>
          <w:szCs w:val="24"/>
        </w:rPr>
        <w:t>Mad Thobi’i</w:t>
      </w:r>
      <w:r w:rsidRPr="00F74A33">
        <w:rPr>
          <w:rFonts w:ascii="Times New Roman" w:hAnsi="Times New Roman" w:cs="Times New Roman"/>
          <w:sz w:val="24"/>
          <w:szCs w:val="24"/>
        </w:rPr>
        <w:t xml:space="preserve">, </w:t>
      </w:r>
      <w:r w:rsidRPr="00F74A33">
        <w:rPr>
          <w:rFonts w:ascii="Times New Roman" w:hAnsi="Times New Roman" w:cs="Times New Roman"/>
          <w:color w:val="FF0000"/>
          <w:sz w:val="24"/>
          <w:szCs w:val="24"/>
        </w:rPr>
        <w:t>Iqlab</w:t>
      </w:r>
    </w:p>
    <w:p w14:paraId="262560DD" w14:textId="7F4D72F5" w:rsidR="00F57BD5" w:rsidRDefault="00F57BD5" w:rsidP="00F74A33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C3100C">
        <w:rPr>
          <w:rFonts w:ascii="Traditional Arabic" w:hAnsi="Traditional Arabic" w:cs="Traditional Arabic"/>
          <w:sz w:val="36"/>
          <w:szCs w:val="36"/>
          <w:rtl/>
        </w:rPr>
        <w:t>بَيِّنٰ</w:t>
      </w:r>
      <w:r w:rsidRPr="00F74A33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تٍ لَّع</w:t>
      </w:r>
      <w:r w:rsidRPr="00C3100C">
        <w:rPr>
          <w:rFonts w:ascii="Traditional Arabic" w:hAnsi="Traditional Arabic" w:cs="Traditional Arabic"/>
          <w:sz w:val="36"/>
          <w:szCs w:val="36"/>
          <w:rtl/>
        </w:rPr>
        <w:t>َلَّكُمۡ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F74A33" w:rsidRPr="00F74A33">
        <w:rPr>
          <w:rFonts w:ascii="Times New Roman" w:hAnsi="Times New Roman" w:cs="Times New Roman"/>
          <w:color w:val="70AD47" w:themeColor="accent6"/>
          <w:sz w:val="24"/>
          <w:szCs w:val="24"/>
        </w:rPr>
        <w:t>Idghom Bilaghunnah</w:t>
      </w:r>
    </w:p>
    <w:p w14:paraId="20F2935B" w14:textId="3BA4DF69" w:rsidR="00F57BD5" w:rsidRPr="00F74A33" w:rsidRDefault="00F74A33" w:rsidP="00F74A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00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F57BD5" w:rsidRPr="00C3100C">
        <w:rPr>
          <w:rFonts w:ascii="Traditional Arabic" w:hAnsi="Traditional Arabic" w:cs="Traditional Arabic"/>
          <w:sz w:val="36"/>
          <w:szCs w:val="36"/>
          <w:rtl/>
        </w:rPr>
        <w:t>لَّعَلَّكُ</w:t>
      </w:r>
      <w:r w:rsidR="00F57BD5" w:rsidRPr="00F74A33">
        <w:rPr>
          <w:rFonts w:ascii="Traditional Arabic" w:hAnsi="Traditional Arabic" w:cs="Traditional Arabic"/>
          <w:color w:val="FFC000"/>
          <w:sz w:val="36"/>
          <w:szCs w:val="36"/>
          <w:rtl/>
        </w:rPr>
        <w:t>مۡ تَذَ</w:t>
      </w:r>
      <w:r w:rsidR="00F57BD5" w:rsidRPr="00C3100C">
        <w:rPr>
          <w:rFonts w:ascii="Traditional Arabic" w:hAnsi="Traditional Arabic" w:cs="Traditional Arabic"/>
          <w:sz w:val="36"/>
          <w:szCs w:val="36"/>
          <w:rtl/>
        </w:rPr>
        <w:t>كَّ</w:t>
      </w:r>
      <w:r w:rsidR="00F57BD5" w:rsidRPr="00F74A33">
        <w:rPr>
          <w:rFonts w:ascii="Traditional Arabic" w:hAnsi="Traditional Arabic" w:cs="Traditional Arabic"/>
          <w:color w:val="00B050"/>
          <w:sz w:val="36"/>
          <w:szCs w:val="36"/>
          <w:rtl/>
        </w:rPr>
        <w:t>رُوۡنَ</w:t>
      </w:r>
      <w:r w:rsidR="00F57BD5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F74A33">
        <w:rPr>
          <w:rFonts w:ascii="Times New Roman" w:eastAsia="Times New Roman" w:hAnsi="Times New Roman" w:cs="Times New Roman"/>
          <w:color w:val="FFC000"/>
          <w:sz w:val="24"/>
          <w:szCs w:val="24"/>
          <w:lang w:eastAsia="id-ID"/>
        </w:rPr>
        <w:t>Ikhfa’ Syafawi</w:t>
      </w:r>
      <w:r w:rsidRPr="00F74A3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F74A33">
        <w:rPr>
          <w:rFonts w:ascii="Times New Roman" w:eastAsia="Times New Roman" w:hAnsi="Times New Roman" w:cs="Times New Roman"/>
          <w:color w:val="00B050"/>
          <w:sz w:val="24"/>
          <w:szCs w:val="24"/>
          <w:lang w:eastAsia="id-ID"/>
        </w:rPr>
        <w:t>Mad ‘Aridh Lis Sukun</w:t>
      </w:r>
    </w:p>
    <w:p w14:paraId="6F33526D" w14:textId="20E09F5E" w:rsidR="00F57BD5" w:rsidRDefault="00F57BD5" w:rsidP="00244EA8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644EA473" w14:textId="3807BEAC" w:rsidR="00244EA8" w:rsidRDefault="00244EA8" w:rsidP="00244EA8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44EA8" w14:paraId="67174F34" w14:textId="77777777" w:rsidTr="00244EA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A1BB406" w14:textId="77777777" w:rsidR="00244EA8" w:rsidRDefault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3D60647" w14:textId="77777777" w:rsidR="00244EA8" w:rsidRDefault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BB78D5" w14:textId="77777777" w:rsidR="00244EA8" w:rsidRDefault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309DC" w14:paraId="5C6B9F6A" w14:textId="77777777" w:rsidTr="00244EA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7734" w14:textId="77777777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BC4A" w14:textId="3DA24003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37C7" w14:textId="77777777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309DC" w14:paraId="5EFFC873" w14:textId="77777777" w:rsidTr="00244EA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8259" w14:textId="77777777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45D4" w14:textId="56FCAC1B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CA61" w14:textId="77777777" w:rsidR="002309DC" w:rsidRDefault="002309DC" w:rsidP="00230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44EA8" w14:paraId="7709CE1D" w14:textId="77777777" w:rsidTr="00244EA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B9BC1F" w14:textId="77777777" w:rsidR="00244EA8" w:rsidRDefault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72AAA9" w14:textId="77777777" w:rsidR="00244EA8" w:rsidRDefault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12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244EA8" w14:paraId="135FF047" w14:textId="77777777" w:rsidTr="00244EA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28A7BB1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B81DE6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44EA8" w14:paraId="19F5E2C9" w14:textId="77777777" w:rsidTr="00244EA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8099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5F41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44EA8" w14:paraId="4B381182" w14:textId="77777777" w:rsidTr="00244EA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E5E8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B831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44EA8" w14:paraId="12467119" w14:textId="77777777" w:rsidTr="00244EA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7CAC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A128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44EA8" w14:paraId="39D8097B" w14:textId="77777777" w:rsidTr="00244EA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7F56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C303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44EA8" w14:paraId="0C6747AD" w14:textId="77777777" w:rsidTr="00244EA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0C9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7556" w14:textId="77777777" w:rsidR="00244EA8" w:rsidRDefault="00244EA8" w:rsidP="00244EA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1C2A9FBB" w14:textId="07FB06BC" w:rsidR="00244EA8" w:rsidRDefault="00244EA8" w:rsidP="00244EA8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p w14:paraId="4EA41FA6" w14:textId="77777777" w:rsidR="00F57BD5" w:rsidRDefault="00F57BD5" w:rsidP="00F57BD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2181961B" w14:textId="77777777" w:rsidR="00F57BD5" w:rsidRPr="00C3100C" w:rsidRDefault="00F57BD5" w:rsidP="00F57BD5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F57BD5" w:rsidRPr="00C3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309DC"/>
    <w:rsid w:val="00244EA8"/>
    <w:rsid w:val="00267424"/>
    <w:rsid w:val="003F439A"/>
    <w:rsid w:val="004C3A86"/>
    <w:rsid w:val="00535F9D"/>
    <w:rsid w:val="0068512A"/>
    <w:rsid w:val="00697D4D"/>
    <w:rsid w:val="00A202E0"/>
    <w:rsid w:val="00C3100C"/>
    <w:rsid w:val="00CC0321"/>
    <w:rsid w:val="00D36518"/>
    <w:rsid w:val="00D805B0"/>
    <w:rsid w:val="00ED0DC2"/>
    <w:rsid w:val="00EE1733"/>
    <w:rsid w:val="00F57BD5"/>
    <w:rsid w:val="00F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paragraph" w:styleId="ListParagraph">
    <w:name w:val="List Paragraph"/>
    <w:basedOn w:val="Normal"/>
    <w:uiPriority w:val="34"/>
    <w:qFormat/>
    <w:rsid w:val="00F74A33"/>
    <w:pPr>
      <w:ind w:left="720"/>
      <w:contextualSpacing/>
    </w:pPr>
  </w:style>
  <w:style w:type="table" w:styleId="TableGrid">
    <w:name w:val="Table Grid"/>
    <w:basedOn w:val="TableNormal"/>
    <w:uiPriority w:val="39"/>
    <w:rsid w:val="00244E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BBA8-BA2B-4884-9B8A-FA8BF34C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30</cp:revision>
  <dcterms:created xsi:type="dcterms:W3CDTF">2021-03-14T14:09:00Z</dcterms:created>
  <dcterms:modified xsi:type="dcterms:W3CDTF">2021-03-16T05:40:00Z</dcterms:modified>
</cp:coreProperties>
</file>