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rFonts w:ascii="Calibri" w:hAnsi="Calibri" w:eastAsia="Calibri"/>
          <w:b/>
          <w:color w:val="2E74B5"/>
          <w:sz w:val="20"/>
        </w:rPr>
        <w:t>RESEARCH SYSTEM PAPER</w:t>
      </w:r>
    </w:p>
    <w:p>
      <w:pPr>
        <w:spacing w:after="160"/>
        <w:jc w:val="center"/>
      </w:pPr>
      <w:r>
        <w:rPr>
          <w:rFonts w:ascii="Calibri" w:hAnsi="Calibri" w:eastAsia="Calibri"/>
          <w:b/>
          <w:color w:val="0B2545"/>
          <w:sz w:val="60"/>
        </w:rPr>
        <w:t>MATRICA</w:t>
      </w:r>
    </w:p>
    <w:p>
      <w:pPr>
        <w:spacing w:after="360"/>
        <w:jc w:val="center"/>
      </w:pPr>
      <w:r>
        <w:rPr>
          <w:rFonts w:ascii="Calibri" w:hAnsi="Calibri" w:eastAsia="Calibri"/>
          <w:b/>
          <w:color w:val="1F4D78"/>
          <w:sz w:val="36"/>
        </w:rPr>
        <w:t>Research Paper Outline</w:t>
      </w:r>
    </w:p>
    <w:p>
      <w:pPr>
        <w:spacing w:after="520"/>
        <w:jc w:val="center"/>
      </w:pPr>
      <w:r>
        <w:rPr>
          <w:rFonts w:ascii="Calibri" w:hAnsi="Calibri" w:eastAsia="Calibri"/>
          <w:i/>
          <w:color w:val="5F6B76"/>
          <w:sz w:val="26"/>
        </w:rPr>
        <w:t>A Decision- and Provenance-Aware Human–AI Workflow for Structured Literature Review and Research Question Formulation</w:t>
      </w:r>
    </w:p>
    <w:p>
      <w:pPr>
        <w:spacing w:after="120"/>
        <w:jc w:val="center"/>
      </w:pPr>
      <w:r>
        <w:rPr>
          <w:rFonts w:ascii="Calibri" w:hAnsi="Calibri" w:eastAsia="Calibri"/>
          <w:b/>
          <w:color w:val="2E74B5"/>
          <w:sz w:val="21"/>
        </w:rPr>
        <w:t>Scope</w:t>
      </w:r>
    </w:p>
    <w:p>
      <w:pPr>
        <w:spacing w:after="680"/>
        <w:jc w:val="center"/>
      </w:pPr>
      <w:r>
        <w:rPr>
          <w:rFonts w:ascii="Calibri" w:hAnsi="Calibri" w:eastAsia="Calibri"/>
          <w:color w:val="1D252C"/>
          <w:sz w:val="21"/>
        </w:rPr>
        <w:t>Peer Review and custom Analyst functionality are excluded.</w:t>
      </w:r>
    </w:p>
    <w:p>
      <w:pPr>
        <w:jc w:val="center"/>
      </w:pPr>
      <w:r>
        <w:rPr>
          <w:rFonts w:ascii="Calibri" w:hAnsi="Calibri" w:eastAsia="Calibri"/>
          <w:color w:val="5F6B76"/>
          <w:sz w:val="20"/>
        </w:rPr>
        <w:t>Prepared 30 July 2026</w:t>
      </w:r>
    </w:p>
    <w:p>
      <w:r>
        <w:br w:type="page"/>
      </w:r>
    </w:p>
    <w:p>
      <w:pPr>
        <w:pStyle w:val="Heading1"/>
        <w:keepNext/>
      </w:pPr>
      <w:r>
        <w:t>Document Purpose</w:t>
      </w:r>
    </w:p>
    <w:tbl>
      <w:tblPr>
        <w:tblW w:type="dxa" w:w="9360"/>
        <w:jc w:val="left"/>
        <w:tblLayout w:type="fixed"/>
        <w:tblLook w:firstColumn="1" w:firstRow="1" w:lastColumn="0" w:lastRow="0" w:noHBand="0" w:noVBand="1" w:val="04A0"/>
        <w:tblInd w:w="120" w:type="dxa"/>
        <w:tblBorders>
          <w:top w:val="single" w:sz="1" w:space="0" w:color="F4F6F9"/>
          <w:left w:val="single" w:sz="18" w:space="0" w:color="2E74B5"/>
          <w:bottom w:val="single" w:sz="1" w:space="0" w:color="F4F6F9"/>
          <w:right w:val="single" w:sz="1" w:space="0" w:color="F4F6F9"/>
          <w:insideH w:val="single" w:sz="1" w:space="0" w:color="F4F6F9"/>
          <w:insideV w:val="single" w:sz="1" w:space="0" w:color="F4F6F9"/>
        </w:tblBorders>
      </w:tblPr>
      <w:tblGrid>
        <w:gridCol w:w="9360"/>
      </w:tblGrid>
      <w:tr>
        <w:tc>
          <w:tcPr>
            <w:tcW w:type="dxa" w:w="9360"/>
            <w:tcMar>
              <w:top w:w="80" w:type="dxa"/>
              <w:start w:w="120" w:type="dxa"/>
              <w:bottom w:w="80" w:type="dxa"/>
              <w:end w:w="120" w:type="dxa"/>
            </w:tcMar>
            <w:vAlign w:val="center"/>
            <w:shd w:fill="F4F6F9" w:val="clear"/>
          </w:tcPr>
          <w:p>
            <w:pPr>
              <w:spacing w:after="0" w:line="276" w:lineRule="auto"/>
            </w:pPr>
            <w:r>
              <w:rPr>
                <w:rFonts w:ascii="Calibri" w:hAnsi="Calibri" w:eastAsia="Calibri"/>
                <w:b/>
                <w:color w:val="0B2545"/>
                <w:sz w:val="21"/>
              </w:rPr>
              <w:t xml:space="preserve">Recommended paper type: </w:t>
            </w:r>
            <w:r>
              <w:rPr>
                <w:rFonts w:ascii="Calibri" w:hAnsi="Calibri" w:eastAsia="Calibri"/>
                <w:color w:val="1D252C"/>
                <w:sz w:val="21"/>
              </w:rPr>
              <w:t>A Design Science research system paper. The manuscript should explain the problem, derive design requirements, describe and implement the artifact, and evaluate it. It should not read as a product brochure.</w:t>
            </w:r>
          </w:p>
        </w:tc>
      </w:tr>
    </w:tbl>
    <w:p>
      <w:pPr>
        <w:spacing w:after="40"/>
      </w:pPr>
    </w:p>
    <w:p>
      <w:pPr/>
      <w:r>
        <w:rPr>
          <w:rFonts w:ascii="Calibri" w:hAnsi="Calibri" w:eastAsia="Calibri"/>
          <w:i w:val="0"/>
          <w:color w:val="1D252C"/>
          <w:sz w:val="22"/>
        </w:rPr>
        <w:t>This document provides a complete English-language manuscript outline for Matrica. It is designed to support drafting, supervision meetings, and the planning of an empirical evaluation.</w:t>
      </w:r>
    </w:p>
    <w:p>
      <w:pPr>
        <w:pStyle w:val="Heading1"/>
        <w:keepNext/>
      </w:pPr>
      <w:r>
        <w:t>Working Title Options</w:t>
      </w:r>
    </w:p>
    <w:p>
      <w:pPr>
        <w:numPr>
          <w:ilvl w:val="0"/>
          <w:numId w:val="11"/>
        </w:numPr>
      </w:pPr>
      <w:r>
        <w:rPr>
          <w:rFonts w:ascii="Calibri" w:hAnsi="Calibri" w:eastAsia="Calibri"/>
          <w:color w:val="1D252C"/>
          <w:sz w:val="22"/>
        </w:rPr>
        <w:t>Matrica: A Decision- and Provenance-Aware Human–AI Workflow for Structured Literature Review and Research Question Formulation</w:t>
      </w:r>
    </w:p>
    <w:p>
      <w:pPr>
        <w:numPr>
          <w:ilvl w:val="0"/>
          <w:numId w:val="11"/>
        </w:numPr>
      </w:pPr>
      <w:r>
        <w:rPr>
          <w:rFonts w:ascii="Calibri" w:hAnsi="Calibri" w:eastAsia="Calibri"/>
          <w:color w:val="1D252C"/>
          <w:sz w:val="22"/>
        </w:rPr>
        <w:t>Beyond Answer Generation: Designing a Traceable Human–AI Workflow from Research Intent to Research Question</w:t>
      </w:r>
    </w:p>
    <w:p>
      <w:pPr>
        <w:numPr>
          <w:ilvl w:val="0"/>
          <w:numId w:val="11"/>
        </w:numPr>
      </w:pPr>
      <w:r>
        <w:rPr>
          <w:rFonts w:ascii="Calibri" w:hAnsi="Calibri" w:eastAsia="Calibri"/>
          <w:color w:val="1D252C"/>
          <w:sz w:val="22"/>
        </w:rPr>
        <w:t>From Research Intent to Evidence-Grounded Questions: Design and Evaluation of the Matrica Research Workflow</w:t>
      </w:r>
    </w:p>
    <w:p>
      <w:pPr>
        <w:pStyle w:val="Heading1"/>
        <w:keepNext/>
      </w:pPr>
      <w:r>
        <w:t>Core Positioning</w:t>
      </w:r>
    </w:p>
    <w:tbl>
      <w:tblPr>
        <w:tblW w:type="dxa" w:w="9360"/>
        <w:jc w:val="left"/>
        <w:tblLayout w:type="fixed"/>
        <w:tblLook w:firstColumn="1" w:firstRow="1" w:lastColumn="0" w:lastRow="0" w:noHBand="0" w:noVBand="1" w:val="04A0"/>
        <w:tblInd w:w="120" w:type="dxa"/>
        <w:tblBorders>
          <w:top w:val="single" w:sz="1" w:space="0" w:color="EEF4F8"/>
          <w:left w:val="single" w:sz="18" w:space="0" w:color="2E74B5"/>
          <w:bottom w:val="single" w:sz="1" w:space="0" w:color="EEF4F8"/>
          <w:right w:val="single" w:sz="1" w:space="0" w:color="EEF4F8"/>
          <w:insideH w:val="single" w:sz="1" w:space="0" w:color="EEF4F8"/>
          <w:insideV w:val="single" w:sz="1" w:space="0" w:color="EEF4F8"/>
        </w:tblBorders>
      </w:tblPr>
      <w:tblGrid>
        <w:gridCol w:w="9360"/>
      </w:tblGrid>
      <w:tr>
        <w:tc>
          <w:tcPr>
            <w:tcW w:type="dxa" w:w="9360"/>
            <w:tcMar>
              <w:top w:w="80" w:type="dxa"/>
              <w:start w:w="120" w:type="dxa"/>
              <w:bottom w:w="80" w:type="dxa"/>
              <w:end w:w="120" w:type="dxa"/>
            </w:tcMar>
            <w:vAlign w:val="center"/>
            <w:shd w:fill="EEF4F8" w:val="clear"/>
          </w:tcPr>
          <w:p>
            <w:pPr>
              <w:spacing w:after="0" w:line="276" w:lineRule="auto"/>
            </w:pPr>
            <w:r>
              <w:rPr>
                <w:rFonts w:ascii="Calibri" w:hAnsi="Calibri" w:eastAsia="Calibri"/>
                <w:b/>
                <w:color w:val="0B2545"/>
                <w:sz w:val="21"/>
              </w:rPr>
              <w:t xml:space="preserve">Central thesis: </w:t>
            </w:r>
            <w:r>
              <w:rPr>
                <w:rFonts w:ascii="Calibri" w:hAnsi="Calibri" w:eastAsia="Calibri"/>
                <w:color w:val="1D252C"/>
                <w:sz w:val="21"/>
              </w:rPr>
              <w:t>Existing Research AI systems commonly optimize source-grounded question answering, academic discovery, or autonomous report generation. Matrica instead represents literature review as a sequence of interdependent research decisions and preserves the structured artifacts connecting those decisions.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700"/>
        <w:gridCol w:w="6660"/>
      </w:tblGrid>
      <w:tr>
        <w:trPr>
          <w:tblHeader w:val="true"/>
        </w:trPr>
        <w:tc>
          <w:tcPr>
            <w:tcW w:type="dxa" w:w="27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8"/>
              </w:rPr>
              <w:t>Research problem</w:t>
            </w:r>
          </w:p>
        </w:tc>
        <w:tc>
          <w:tcPr>
            <w:tcW w:type="dxa" w:w="666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8"/>
              </w:rPr>
              <w:t>Matrica response</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Vague research intent</w:t>
            </w:r>
          </w:p>
        </w:tc>
        <w:tc>
          <w:tcPr>
            <w:tcW w:type="dxa" w:w="66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A conversational Research Profile captures domain, population, focus, method, and review type.</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Fragmented research tools</w:t>
            </w:r>
          </w:p>
        </w:tc>
        <w:tc>
          <w:tcPr>
            <w:tcW w:type="dxa" w:w="66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A shared workflow state links discovery, screening, extraction, synthesis, gaps, and final questions.</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Opaque AI decisions</w:t>
            </w:r>
          </w:p>
        </w:tc>
        <w:tc>
          <w:tcPr>
            <w:tcW w:type="dxa" w:w="66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Queries, criteria, decisions, matrix metadata, and user confirmations remain visible.</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Unstructured notes</w:t>
            </w:r>
          </w:p>
        </w:tc>
        <w:tc>
          <w:tcPr>
            <w:tcW w:type="dxa" w:w="66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Schema-driven matrices support consistent comparison across papers and, when relevant, research systems.</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Evidence–question disconnect</w:t>
            </w:r>
          </w:p>
        </w:tc>
        <w:tc>
          <w:tcPr>
            <w:tcW w:type="dxa" w:w="66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Final topics and questions are derived from the matrix, synthesis, and gap statement.</w:t>
            </w:r>
          </w:p>
        </w:tc>
      </w:tr>
      <w:tr>
        <w:tc>
          <w:tcPr>
            <w:tcW w:type="dxa" w:w="27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Invalid downstream outputs</w:t>
            </w:r>
          </w:p>
        </w:tc>
        <w:tc>
          <w:tcPr>
            <w:tcW w:type="dxa" w:w="66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Upstream edits mark dependent steps as stale and signal the need for regeneration.</w:t>
            </w:r>
          </w:p>
        </w:tc>
      </w:tr>
    </w:tbl>
    <w:p>
      <w:pPr>
        <w:spacing w:after="40"/>
      </w:pPr>
    </w:p>
    <w:p>
      <w:pPr>
        <w:pStyle w:val="Heading1"/>
        <w:keepNext/>
      </w:pPr>
      <w:r>
        <w:t>Research Aim and Questions</w:t>
      </w:r>
    </w:p>
    <w:p>
      <w:pPr/>
      <w:r>
        <w:rPr>
          <w:rFonts w:ascii="Calibri" w:hAnsi="Calibri" w:eastAsia="Calibri"/>
          <w:i w:val="0"/>
          <w:color w:val="1D252C"/>
          <w:sz w:val="22"/>
        </w:rPr>
        <w:t>Aim: To design and evaluate an LLM-assisted research workflow that maintains structured alignment and traceability from initial research intent to a final, evidence-grounded research question.</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trPr>
        <w:tc>
          <w:tcPr>
            <w:tcW w:type="dxa" w:w="19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8"/>
              </w:rPr>
              <w:t>Question</w:t>
            </w:r>
          </w:p>
        </w:tc>
        <w:tc>
          <w:tcPr>
            <w:tcW w:type="dxa" w:w="746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8"/>
              </w:rPr>
              <w:t>Proposed wording</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RQ1 — Design</w:t>
            </w:r>
          </w:p>
        </w:tc>
        <w:tc>
          <w:tcPr>
            <w:tcW w:type="dxa" w:w="74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How can an LLM-assisted research system represent and maintain the relationships between research intent, search decisions, extracted evidence, research gaps, and final research questions?</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RQ2 — Performance</w:t>
            </w:r>
          </w:p>
        </w:tc>
        <w:tc>
          <w:tcPr>
            <w:tcW w:type="dxa" w:w="74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To what extent does Matrica improve the efficiency, accuracy, and traceability of structured literature-review tasks compared with manual workflows and representative Research AI tools?</w:t>
            </w:r>
          </w:p>
        </w:tc>
      </w:tr>
      <w:tr>
        <w:tc>
          <w:tcPr>
            <w:tcW w:type="dxa" w:w="190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RQ3 — Interaction</w:t>
            </w:r>
          </w:p>
        </w:tc>
        <w:tc>
          <w:tcPr>
            <w:tcW w:type="dxa" w:w="7460"/>
            <w:tcMar>
              <w:top w:w="80" w:type="dxa"/>
              <w:start w:w="120" w:type="dxa"/>
              <w:bottom w:w="80" w:type="dxa"/>
              <w:end w:w="120" w:type="dxa"/>
            </w:tcMar>
            <w:vAlign w:val="center"/>
          </w:tcPr>
          <w:p>
            <w:pPr>
              <w:spacing w:before="0" w:after="40" w:line="264" w:lineRule="auto"/>
            </w:pPr>
            <w:r>
              <w:rPr>
                <w:rFonts w:ascii="Calibri" w:hAnsi="Calibri" w:eastAsia="Calibri"/>
                <w:color w:val="1D252C"/>
                <w:sz w:val="18"/>
              </w:rPr>
              <w:t>How do evidence metadata, uncertainty indicators, human verification, and stale-state warnings affect error detection, trust calibration, and perceived control?</w:t>
            </w:r>
          </w:p>
        </w:tc>
      </w:tr>
    </w:tbl>
    <w:p>
      <w:pPr>
        <w:spacing w:after="40"/>
      </w:pPr>
    </w:p>
    <w:p>
      <w:pPr>
        <w:pStyle w:val="Heading1"/>
        <w:keepNext/>
      </w:pPr>
      <w:r>
        <w:t>Detailed Manuscript Outline</w:t>
      </w:r>
    </w:p>
    <w:p>
      <w:pPr>
        <w:pStyle w:val="Heading2"/>
        <w:keepNext/>
      </w:pPr>
      <w:r>
        <w:t>1. Abstract</w:t>
      </w:r>
    </w:p>
    <w:p>
      <w:pPr/>
      <w:r>
        <w:rPr>
          <w:rFonts w:ascii="Calibri" w:hAnsi="Calibri" w:eastAsia="Calibri"/>
          <w:i w:val="0"/>
          <w:color w:val="1D252C"/>
          <w:sz w:val="22"/>
        </w:rPr>
        <w:t>Write the abstract as a five-part compressed argument:</w:t>
      </w:r>
    </w:p>
    <w:p>
      <w:pPr>
        <w:numPr>
          <w:ilvl w:val="0"/>
          <w:numId w:val="10"/>
        </w:numPr>
      </w:pPr>
      <w:r>
        <w:rPr>
          <w:rFonts w:ascii="Calibri" w:hAnsi="Calibri" w:eastAsia="Calibri"/>
          <w:color w:val="1D252C"/>
          <w:sz w:val="22"/>
        </w:rPr>
        <w:t>Context: Structured literature reviews are rigorous but time-intensive and distributed across multiple tools.</w:t>
      </w:r>
    </w:p>
    <w:p>
      <w:pPr>
        <w:numPr>
          <w:ilvl w:val="0"/>
          <w:numId w:val="10"/>
        </w:numPr>
      </w:pPr>
      <w:r>
        <w:rPr>
          <w:rFonts w:ascii="Calibri" w:hAnsi="Calibri" w:eastAsia="Calibri"/>
          <w:color w:val="1D252C"/>
          <w:sz w:val="22"/>
        </w:rPr>
        <w:t>Problem: Current Research AI often prioritizes answers or reports rather than explicit intermediate decisions and dependencies.</w:t>
      </w:r>
    </w:p>
    <w:p>
      <w:pPr>
        <w:numPr>
          <w:ilvl w:val="0"/>
          <w:numId w:val="10"/>
        </w:numPr>
      </w:pPr>
      <w:r>
        <w:rPr>
          <w:rFonts w:ascii="Calibri" w:hAnsi="Calibri" w:eastAsia="Calibri"/>
          <w:color w:val="1D252C"/>
          <w:sz w:val="22"/>
        </w:rPr>
        <w:t>Artifact: Present Matrica as a structured, human-controlled workflow from topic definition to research-question formulation.</w:t>
      </w:r>
    </w:p>
    <w:p>
      <w:pPr>
        <w:numPr>
          <w:ilvl w:val="0"/>
          <w:numId w:val="10"/>
        </w:numPr>
      </w:pPr>
      <w:r>
        <w:rPr>
          <w:rFonts w:ascii="Calibri" w:hAnsi="Calibri" w:eastAsia="Calibri"/>
          <w:color w:val="1D252C"/>
          <w:sz w:val="22"/>
        </w:rPr>
        <w:t>Method and results: State the Design Science method, evaluation design, sample, baselines, and measured findings.</w:t>
      </w:r>
    </w:p>
    <w:p>
      <w:pPr>
        <w:numPr>
          <w:ilvl w:val="0"/>
          <w:numId w:val="10"/>
        </w:numPr>
      </w:pPr>
      <w:r>
        <w:rPr>
          <w:rFonts w:ascii="Calibri" w:hAnsi="Calibri" w:eastAsia="Calibri"/>
          <w:color w:val="1D252C"/>
          <w:sz w:val="22"/>
        </w:rPr>
        <w:t>Contribution: Explain what the system contributes to Research AI, evidence synthesis, and human–AI interaction.</w:t>
      </w:r>
    </w:p>
    <w:tbl>
      <w:tblPr>
        <w:tblW w:type="dxa" w:w="9360"/>
        <w:jc w:val="left"/>
        <w:tblLayout w:type="fixed"/>
        <w:tblLook w:firstColumn="1" w:firstRow="1" w:lastColumn="0" w:lastRow="0" w:noHBand="0" w:noVBand="1" w:val="04A0"/>
        <w:tblInd w:w="120" w:type="dxa"/>
        <w:tblBorders>
          <w:top w:val="single" w:sz="1" w:space="0" w:color="F4F6F9"/>
          <w:left w:val="single" w:sz="18" w:space="0" w:color="2E74B5"/>
          <w:bottom w:val="single" w:sz="1" w:space="0" w:color="F4F6F9"/>
          <w:right w:val="single" w:sz="1" w:space="0" w:color="F4F6F9"/>
          <w:insideH w:val="single" w:sz="1" w:space="0" w:color="F4F6F9"/>
          <w:insideV w:val="single" w:sz="1" w:space="0" w:color="F4F6F9"/>
        </w:tblBorders>
      </w:tblPr>
      <w:tblGrid>
        <w:gridCol w:w="9360"/>
      </w:tblGrid>
      <w:tr>
        <w:tc>
          <w:tcPr>
            <w:tcW w:type="dxa" w:w="9360"/>
            <w:tcMar>
              <w:top w:w="80" w:type="dxa"/>
              <w:start w:w="120" w:type="dxa"/>
              <w:bottom w:w="80" w:type="dxa"/>
              <w:end w:w="120" w:type="dxa"/>
            </w:tcMar>
            <w:vAlign w:val="center"/>
            <w:shd w:fill="F4F6F9" w:val="clear"/>
          </w:tcPr>
          <w:p>
            <w:pPr>
              <w:spacing w:after="0" w:line="276" w:lineRule="auto"/>
            </w:pPr>
            <w:r>
              <w:rPr>
                <w:rFonts w:ascii="Calibri" w:hAnsi="Calibri" w:eastAsia="Calibri"/>
                <w:b/>
                <w:color w:val="0B2545"/>
                <w:sz w:val="21"/>
              </w:rPr>
              <w:t xml:space="preserve">Writing rule: </w:t>
            </w:r>
            <w:r>
              <w:rPr>
                <w:rFonts w:ascii="Calibri" w:hAnsi="Calibri" w:eastAsia="Calibri"/>
                <w:color w:val="1D252C"/>
                <w:sz w:val="21"/>
              </w:rPr>
              <w:t>Do not claim improved accuracy, efficiency, or trust until the evaluation produces supporting evidence.</w:t>
            </w:r>
          </w:p>
        </w:tc>
      </w:tr>
    </w:tbl>
    <w:p>
      <w:pPr>
        <w:spacing w:after="40"/>
      </w:pPr>
    </w:p>
    <w:p>
      <w:pPr>
        <w:pStyle w:val="Heading2"/>
        <w:keepNext/>
      </w:pPr>
      <w:r>
        <w:t>2. Introduction</w:t>
      </w:r>
    </w:p>
    <w:p>
      <w:pPr>
        <w:pStyle w:val="Heading3"/>
        <w:keepNext/>
      </w:pPr>
      <w:r>
        <w:t>2.1 Context and Motivation</w:t>
      </w:r>
    </w:p>
    <w:p>
      <w:pPr>
        <w:numPr>
          <w:ilvl w:val="0"/>
          <w:numId w:val="10"/>
        </w:numPr>
      </w:pPr>
      <w:r>
        <w:rPr>
          <w:rFonts w:ascii="Calibri" w:hAnsi="Calibri" w:eastAsia="Calibri"/>
          <w:color w:val="1D252C"/>
          <w:sz w:val="22"/>
        </w:rPr>
        <w:t>Explain the growth of generative AI tools for academic search, summarization, and research assistance.</w:t>
      </w:r>
    </w:p>
    <w:p>
      <w:pPr>
        <w:numPr>
          <w:ilvl w:val="0"/>
          <w:numId w:val="10"/>
        </w:numPr>
      </w:pPr>
      <w:r>
        <w:rPr>
          <w:rFonts w:ascii="Calibri" w:hAnsi="Calibri" w:eastAsia="Calibri"/>
          <w:color w:val="1D252C"/>
          <w:sz w:val="22"/>
        </w:rPr>
        <w:t>Describe the practical burden of converting an initial idea into a defensible literature review and research question.</w:t>
      </w:r>
    </w:p>
    <w:p>
      <w:pPr>
        <w:numPr>
          <w:ilvl w:val="0"/>
          <w:numId w:val="10"/>
        </w:numPr>
      </w:pPr>
      <w:r>
        <w:rPr>
          <w:rFonts w:ascii="Calibri" w:hAnsi="Calibri" w:eastAsia="Calibri"/>
          <w:color w:val="1D252C"/>
          <w:sz w:val="22"/>
        </w:rPr>
        <w:t>Emphasize that research quality depends on decisions made throughout the process, not only on the final written output.</w:t>
      </w:r>
    </w:p>
    <w:p>
      <w:pPr>
        <w:pStyle w:val="Heading3"/>
        <w:keepNext/>
      </w:pPr>
      <w:r>
        <w:t>2.2 Problem Statement</w:t>
      </w:r>
    </w:p>
    <w:p>
      <w:pPr>
        <w:numPr>
          <w:ilvl w:val="0"/>
          <w:numId w:val="10"/>
        </w:numPr>
      </w:pPr>
      <w:r>
        <w:rPr>
          <w:rFonts w:ascii="Calibri" w:hAnsi="Calibri" w:eastAsia="Calibri"/>
          <w:color w:val="1D252C"/>
          <w:sz w:val="22"/>
        </w:rPr>
        <w:t>Research activities are fragmented across search engines, spreadsheets, note-taking applications, and chat interfaces.</w:t>
      </w:r>
    </w:p>
    <w:p>
      <w:pPr>
        <w:numPr>
          <w:ilvl w:val="0"/>
          <w:numId w:val="10"/>
        </w:numPr>
      </w:pPr>
      <w:r>
        <w:rPr>
          <w:rFonts w:ascii="Calibri" w:hAnsi="Calibri" w:eastAsia="Calibri"/>
          <w:color w:val="1D252C"/>
          <w:sz w:val="22"/>
        </w:rPr>
        <w:t>Intermediate decisions—why a query was used, why a paper was excluded, or how a matrix value was obtained—can disappear from the final account.</w:t>
      </w:r>
    </w:p>
    <w:p>
      <w:pPr>
        <w:numPr>
          <w:ilvl w:val="0"/>
          <w:numId w:val="10"/>
        </w:numPr>
      </w:pPr>
      <w:r>
        <w:rPr>
          <w:rFonts w:ascii="Calibri" w:hAnsi="Calibri" w:eastAsia="Calibri"/>
          <w:color w:val="1D252C"/>
          <w:sz w:val="22"/>
        </w:rPr>
        <w:t>When an upstream decision changes, downstream AI outputs may remain visible even though their assumptions are no longer valid.</w:t>
      </w:r>
    </w:p>
    <w:p>
      <w:pPr>
        <w:numPr>
          <w:ilvl w:val="0"/>
          <w:numId w:val="10"/>
        </w:numPr>
      </w:pPr>
      <w:r>
        <w:rPr>
          <w:rFonts w:ascii="Calibri" w:hAnsi="Calibri" w:eastAsia="Calibri"/>
          <w:color w:val="1D252C"/>
          <w:sz w:val="22"/>
        </w:rPr>
        <w:t>Novice researchers may accept plausible AI output without understanding its evidential basis or methodological limitations.</w:t>
      </w:r>
    </w:p>
    <w:p>
      <w:pPr>
        <w:pStyle w:val="Heading3"/>
        <w:keepNext/>
      </w:pPr>
      <w:r>
        <w:t>2.3 Research Gap</w:t>
      </w:r>
    </w:p>
    <w:p>
      <w:pPr/>
      <w:r>
        <w:rPr>
          <w:rFonts w:ascii="Calibri" w:hAnsi="Calibri" w:eastAsia="Calibri"/>
          <w:i w:val="0"/>
          <w:color w:val="1D252C"/>
          <w:sz w:val="22"/>
        </w:rPr>
        <w:t>Position the gap at the workflow level. Prior work often evaluates individual tasks such as retrieval, title/abstract screening, or data extraction. Less attention has been paid to the explicit representation of dependencies across the full path from research intent to research-question formation.</w:t>
      </w:r>
    </w:p>
    <w:p>
      <w:pPr>
        <w:pStyle w:val="Heading3"/>
        <w:keepNext/>
      </w:pPr>
      <w:r>
        <w:t>2.4 Aim, Research Questions, and Contributions</w:t>
      </w:r>
    </w:p>
    <w:p>
      <w:pPr>
        <w:numPr>
          <w:ilvl w:val="0"/>
          <w:numId w:val="10"/>
        </w:numPr>
      </w:pPr>
      <w:r>
        <w:rPr>
          <w:rFonts w:ascii="Calibri" w:hAnsi="Calibri" w:eastAsia="Calibri"/>
          <w:color w:val="1D252C"/>
          <w:sz w:val="22"/>
        </w:rPr>
        <w:t>State the aim and RQ1–RQ3.</w:t>
      </w:r>
    </w:p>
    <w:p>
      <w:pPr>
        <w:numPr>
          <w:ilvl w:val="0"/>
          <w:numId w:val="10"/>
        </w:numPr>
      </w:pPr>
      <w:r>
        <w:rPr>
          <w:rFonts w:ascii="Calibri" w:hAnsi="Calibri" w:eastAsia="Calibri"/>
          <w:color w:val="1D252C"/>
          <w:sz w:val="22"/>
        </w:rPr>
        <w:t>Contribution 1: a conceptual workflow model connecting research intent, evidence, gaps, and questions.</w:t>
      </w:r>
    </w:p>
    <w:p>
      <w:pPr>
        <w:numPr>
          <w:ilvl w:val="0"/>
          <w:numId w:val="10"/>
        </w:numPr>
      </w:pPr>
      <w:r>
        <w:rPr>
          <w:rFonts w:ascii="Calibri" w:hAnsi="Calibri" w:eastAsia="Calibri"/>
          <w:color w:val="1D252C"/>
          <w:sz w:val="22"/>
        </w:rPr>
        <w:t>Contribution 2: a structured state and matrix model for intermediate research artifacts.</w:t>
      </w:r>
    </w:p>
    <w:p>
      <w:pPr>
        <w:numPr>
          <w:ilvl w:val="0"/>
          <w:numId w:val="10"/>
        </w:numPr>
      </w:pPr>
      <w:r>
        <w:rPr>
          <w:rFonts w:ascii="Calibri" w:hAnsi="Calibri" w:eastAsia="Calibri"/>
          <w:color w:val="1D252C"/>
          <w:sz w:val="22"/>
        </w:rPr>
        <w:t>Contribution 3: human-control mechanisms including uncertainty cues, verification, and stale-state propagation.</w:t>
      </w:r>
    </w:p>
    <w:p>
      <w:pPr>
        <w:numPr>
          <w:ilvl w:val="0"/>
          <w:numId w:val="10"/>
        </w:numPr>
      </w:pPr>
      <w:r>
        <w:rPr>
          <w:rFonts w:ascii="Calibri" w:hAnsi="Calibri" w:eastAsia="Calibri"/>
          <w:color w:val="1D252C"/>
          <w:sz w:val="22"/>
        </w:rPr>
        <w:t>Contribution 4: an open-source prototype and empirical evaluation.</w:t>
      </w:r>
    </w:p>
    <w:p>
      <w:pPr>
        <w:pStyle w:val="Heading3"/>
        <w:keepNext/>
      </w:pPr>
      <w:r>
        <w:t>2.5 Paper Structure</w:t>
      </w:r>
    </w:p>
    <w:p>
      <w:pPr/>
      <w:r>
        <w:rPr>
          <w:rFonts w:ascii="Calibri" w:hAnsi="Calibri" w:eastAsia="Calibri"/>
          <w:i w:val="0"/>
          <w:color w:val="1D252C"/>
          <w:sz w:val="22"/>
        </w:rPr>
        <w:t>Close the introduction with a short roadmap of the background, methodology, artifact, evaluation, results, discussion, limitations, and conclusion.</w:t>
      </w:r>
    </w:p>
    <w:p>
      <w:pPr>
        <w:pStyle w:val="Heading2"/>
        <w:keepNext/>
      </w:pPr>
      <w:r>
        <w:t>3. Background and Related Work</w:t>
      </w:r>
    </w:p>
    <w:p>
      <w:pPr>
        <w:pStyle w:val="Heading3"/>
        <w:keepNext/>
      </w:pPr>
      <w:r>
        <w:t>3.1 Structured Literature Review and Evidence Synthesis</w:t>
      </w:r>
    </w:p>
    <w:p>
      <w:pPr>
        <w:numPr>
          <w:ilvl w:val="0"/>
          <w:numId w:val="10"/>
        </w:numPr>
      </w:pPr>
      <w:r>
        <w:rPr>
          <w:rFonts w:ascii="Calibri" w:hAnsi="Calibri" w:eastAsia="Calibri"/>
          <w:color w:val="1D252C"/>
          <w:sz w:val="22"/>
        </w:rPr>
        <w:t>Introduce transparent reporting, search documentation, study selection, structured data collection, and synthesis.</w:t>
      </w:r>
    </w:p>
    <w:p>
      <w:pPr>
        <w:numPr>
          <w:ilvl w:val="0"/>
          <w:numId w:val="10"/>
        </w:numPr>
      </w:pPr>
      <w:r>
        <w:rPr>
          <w:rFonts w:ascii="Calibri" w:hAnsi="Calibri" w:eastAsia="Calibri"/>
          <w:color w:val="1D252C"/>
          <w:sz w:val="22"/>
        </w:rPr>
        <w:t>Use PRISMA 2020 as a reporting reference and the Cochrane/JBI guidance for structured data collection.</w:t>
      </w:r>
    </w:p>
    <w:p>
      <w:pPr>
        <w:numPr>
          <w:ilvl w:val="0"/>
          <w:numId w:val="10"/>
        </w:numPr>
      </w:pPr>
      <w:r>
        <w:rPr>
          <w:rFonts w:ascii="Calibri" w:hAnsi="Calibri" w:eastAsia="Calibri"/>
          <w:color w:val="1D252C"/>
          <w:sz w:val="22"/>
        </w:rPr>
        <w:t>Explain the literature or synthesis matrix as a mechanism for comparing studies across common dimensions.</w:t>
      </w:r>
    </w:p>
    <w:p>
      <w:pPr>
        <w:numPr>
          <w:ilvl w:val="0"/>
          <w:numId w:val="10"/>
        </w:numPr>
      </w:pPr>
      <w:r>
        <w:rPr>
          <w:rFonts w:ascii="Calibri" w:hAnsi="Calibri" w:eastAsia="Calibri"/>
          <w:color w:val="1D252C"/>
          <w:sz w:val="22"/>
        </w:rPr>
        <w:t>Distinguish a PRISMA-informed workflow from a claim of complete PRISMA compliance.</w:t>
      </w:r>
    </w:p>
    <w:p>
      <w:pPr>
        <w:pStyle w:val="Heading3"/>
        <w:keepNext/>
      </w:pPr>
      <w:r>
        <w:t>3.2 AI Support Across Review Stages</w:t>
      </w:r>
    </w:p>
    <w:p>
      <w:pPr>
        <w:numPr>
          <w:ilvl w:val="0"/>
          <w:numId w:val="10"/>
        </w:numPr>
      </w:pPr>
      <w:r>
        <w:rPr>
          <w:rFonts w:ascii="Calibri" w:hAnsi="Calibri" w:eastAsia="Calibri"/>
          <w:color w:val="1D252C"/>
          <w:sz w:val="22"/>
        </w:rPr>
        <w:t>Research-topic and research-question formulation.</w:t>
      </w:r>
    </w:p>
    <w:p>
      <w:pPr>
        <w:numPr>
          <w:ilvl w:val="0"/>
          <w:numId w:val="10"/>
        </w:numPr>
      </w:pPr>
      <w:r>
        <w:rPr>
          <w:rFonts w:ascii="Calibri" w:hAnsi="Calibri" w:eastAsia="Calibri"/>
          <w:color w:val="1D252C"/>
          <w:sz w:val="22"/>
        </w:rPr>
        <w:t>Query generation and scholarly retrieval.</w:t>
      </w:r>
    </w:p>
    <w:p>
      <w:pPr>
        <w:numPr>
          <w:ilvl w:val="0"/>
          <w:numId w:val="10"/>
        </w:numPr>
      </w:pPr>
      <w:r>
        <w:rPr>
          <w:rFonts w:ascii="Calibri" w:hAnsi="Calibri" w:eastAsia="Calibri"/>
          <w:color w:val="1D252C"/>
          <w:sz w:val="22"/>
        </w:rPr>
        <w:t>Relevance ranking and title/abstract screening.</w:t>
      </w:r>
    </w:p>
    <w:p>
      <w:pPr>
        <w:numPr>
          <w:ilvl w:val="0"/>
          <w:numId w:val="10"/>
        </w:numPr>
      </w:pPr>
      <w:r>
        <w:rPr>
          <w:rFonts w:ascii="Calibri" w:hAnsi="Calibri" w:eastAsia="Calibri"/>
          <w:color w:val="1D252C"/>
          <w:sz w:val="22"/>
        </w:rPr>
        <w:t>Structured data extraction from abstracts and full text.</w:t>
      </w:r>
    </w:p>
    <w:p>
      <w:pPr>
        <w:numPr>
          <w:ilvl w:val="0"/>
          <w:numId w:val="10"/>
        </w:numPr>
      </w:pPr>
      <w:r>
        <w:rPr>
          <w:rFonts w:ascii="Calibri" w:hAnsi="Calibri" w:eastAsia="Calibri"/>
          <w:color w:val="1D252C"/>
          <w:sz w:val="22"/>
        </w:rPr>
        <w:t>Narrative synthesis and research-gap identification.</w:t>
      </w:r>
    </w:p>
    <w:p>
      <w:pPr>
        <w:numPr>
          <w:ilvl w:val="0"/>
          <w:numId w:val="10"/>
        </w:numPr>
      </w:pPr>
      <w:r>
        <w:rPr>
          <w:rFonts w:ascii="Calibri" w:hAnsi="Calibri" w:eastAsia="Calibri"/>
          <w:color w:val="1D252C"/>
          <w:sz w:val="22"/>
        </w:rPr>
        <w:t>Risks: hallucination, source misattribution, automation bias, poor confidence calibration, and propagation of upstream errors.</w:t>
      </w:r>
    </w:p>
    <w:p>
      <w:pPr>
        <w:pStyle w:val="Heading3"/>
        <w:keepNext/>
      </w:pPr>
      <w:r>
        <w:t>3.3 Categories of Research AI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50"/>
        <w:gridCol w:w="3000"/>
        <w:gridCol w:w="4310"/>
      </w:tblGrid>
      <w:tr>
        <w:trPr>
          <w:tblHeader w:val="true"/>
        </w:trPr>
        <w:tc>
          <w:tcPr>
            <w:tcW w:type="dxa" w:w="205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System</w:t>
            </w:r>
          </w:p>
        </w:tc>
        <w:tc>
          <w:tcPr>
            <w:tcW w:type="dxa" w:w="30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Public emphasis</w:t>
            </w:r>
          </w:p>
        </w:tc>
        <w:tc>
          <w:tcPr>
            <w:tcW w:type="dxa" w:w="431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Positioning for Matrica</w:t>
            </w:r>
          </w:p>
        </w:tc>
      </w:tr>
      <w:tr>
        <w:tc>
          <w:tcPr>
            <w:tcW w:type="dxa" w:w="20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Gemini Notebook (formerly NotebookLM)</w:t>
            </w:r>
          </w:p>
        </w:tc>
        <w:tc>
          <w:tcPr>
            <w:tcW w:type="dxa" w:w="30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Source-grounded notebook and derivative learning/research artifacts</w:t>
            </w:r>
          </w:p>
        </w:tc>
        <w:tc>
          <w:tcPr>
            <w:tcW w:type="dxa" w:w="4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Matrica focuses on method-guided progression and explicit intermediate research states.</w:t>
            </w:r>
          </w:p>
        </w:tc>
      </w:tr>
      <w:tr>
        <w:tc>
          <w:tcPr>
            <w:tcW w:type="dxa" w:w="20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Perplexity Research</w:t>
            </w:r>
          </w:p>
        </w:tc>
        <w:tc>
          <w:tcPr>
            <w:tcW w:type="dxa" w:w="30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Autonomous web search, reasoning, and report generation</w:t>
            </w:r>
          </w:p>
        </w:tc>
        <w:tc>
          <w:tcPr>
            <w:tcW w:type="dxa" w:w="4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Matrica exposes queries, screening decisions, matrices, and dependencies rather than only a final report.</w:t>
            </w:r>
          </w:p>
        </w:tc>
      </w:tr>
      <w:tr>
        <w:tc>
          <w:tcPr>
            <w:tcW w:type="dxa" w:w="20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Elicit</w:t>
            </w:r>
          </w:p>
        </w:tc>
        <w:tc>
          <w:tcPr>
            <w:tcW w:type="dxa" w:w="30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Academic discovery, systematic-review screening, and data extraction</w:t>
            </w:r>
          </w:p>
        </w:tc>
        <w:tc>
          <w:tcPr>
            <w:tcW w:type="dxa" w:w="4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The closest comparator; differentiate Matrica through schema-first design, paper/system matrices, stale-state propagation, and gap-to-design continuity.</w:t>
            </w:r>
          </w:p>
        </w:tc>
      </w:tr>
      <w:tr>
        <w:tc>
          <w:tcPr>
            <w:tcW w:type="dxa" w:w="20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Consensus</w:t>
            </w:r>
          </w:p>
        </w:tc>
        <w:tc>
          <w:tcPr>
            <w:tcW w:type="dxa" w:w="30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Academic search agent, citation chaining, study comparison, and gap exploration</w:t>
            </w:r>
          </w:p>
        </w:tc>
        <w:tc>
          <w:tcPr>
            <w:tcW w:type="dxa" w:w="4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Matrica emphasizes protocolized gates, user decisions, and state carried across the full workflow.</w:t>
            </w:r>
          </w:p>
        </w:tc>
      </w:tr>
    </w:tbl>
    <w:p>
      <w:pPr>
        <w:spacing w:after="40"/>
      </w:pPr>
    </w:p>
    <w:tbl>
      <w:tblPr>
        <w:tblW w:type="dxa" w:w="9360"/>
        <w:jc w:val="left"/>
        <w:tblLayout w:type="fixed"/>
        <w:tblLook w:firstColumn="1" w:firstRow="1" w:lastColumn="0" w:lastRow="0" w:noHBand="0" w:noVBand="1" w:val="04A0"/>
        <w:tblInd w:w="120" w:type="dxa"/>
        <w:tblBorders>
          <w:top w:val="single" w:sz="1" w:space="0" w:color="F4F6F9"/>
          <w:left w:val="single" w:sz="18" w:space="0" w:color="2E74B5"/>
          <w:bottom w:val="single" w:sz="1" w:space="0" w:color="F4F6F9"/>
          <w:right w:val="single" w:sz="1" w:space="0" w:color="F4F6F9"/>
          <w:insideH w:val="single" w:sz="1" w:space="0" w:color="F4F6F9"/>
          <w:insideV w:val="single" w:sz="1" w:space="0" w:color="F4F6F9"/>
        </w:tblBorders>
      </w:tblPr>
      <w:tblGrid>
        <w:gridCol w:w="9360"/>
      </w:tblGrid>
      <w:tr>
        <w:tc>
          <w:tcPr>
            <w:tcW w:type="dxa" w:w="9360"/>
            <w:tcMar>
              <w:top w:w="80" w:type="dxa"/>
              <w:start w:w="120" w:type="dxa"/>
              <w:bottom w:w="80" w:type="dxa"/>
              <w:end w:w="120" w:type="dxa"/>
            </w:tcMar>
            <w:vAlign w:val="center"/>
            <w:shd w:fill="F4F6F9" w:val="clear"/>
          </w:tcPr>
          <w:p>
            <w:pPr>
              <w:spacing w:after="0" w:line="276" w:lineRule="auto"/>
            </w:pPr>
            <w:r>
              <w:rPr>
                <w:rFonts w:ascii="Calibri" w:hAnsi="Calibri" w:eastAsia="Calibri"/>
                <w:b/>
                <w:color w:val="0B2545"/>
                <w:sz w:val="21"/>
              </w:rPr>
              <w:t xml:space="preserve">Claim discipline: </w:t>
            </w:r>
            <w:r>
              <w:rPr>
                <w:rFonts w:ascii="Calibri" w:hAnsi="Calibri" w:eastAsia="Calibri"/>
                <w:color w:val="1D252C"/>
                <w:sz w:val="21"/>
              </w:rPr>
              <w:t>Do not argue that every individual Matrica feature is unique. The defensible contribution is the combination of explicit research state, dependency-aware workflow control, matrix-based evidence organization, and evidence-to-question continuity.</w:t>
            </w:r>
          </w:p>
        </w:tc>
      </w:tr>
    </w:tbl>
    <w:p>
      <w:pPr>
        <w:spacing w:after="40"/>
      </w:pPr>
    </w:p>
    <w:p>
      <w:pPr>
        <w:pStyle w:val="Heading3"/>
        <w:keepNext/>
      </w:pPr>
      <w:r>
        <w:t>3.4 Human–AI Interaction, Trust, and Provenance</w:t>
      </w:r>
    </w:p>
    <w:p>
      <w:pPr>
        <w:numPr>
          <w:ilvl w:val="0"/>
          <w:numId w:val="10"/>
        </w:numPr>
      </w:pPr>
      <w:r>
        <w:rPr>
          <w:rFonts w:ascii="Calibri" w:hAnsi="Calibri" w:eastAsia="Calibri"/>
          <w:color w:val="1D252C"/>
          <w:sz w:val="22"/>
        </w:rPr>
        <w:t>Discuss appropriate reliance rather than maximizing user trust.</w:t>
      </w:r>
    </w:p>
    <w:p>
      <w:pPr>
        <w:numPr>
          <w:ilvl w:val="0"/>
          <w:numId w:val="10"/>
        </w:numPr>
      </w:pPr>
      <w:r>
        <w:rPr>
          <w:rFonts w:ascii="Calibri" w:hAnsi="Calibri" w:eastAsia="Calibri"/>
          <w:color w:val="1D252C"/>
          <w:sz w:val="22"/>
        </w:rPr>
        <w:t>Explain how uncertainty communication can support verification but can also create false confidence.</w:t>
      </w:r>
    </w:p>
    <w:p>
      <w:pPr>
        <w:numPr>
          <w:ilvl w:val="0"/>
          <w:numId w:val="10"/>
        </w:numPr>
      </w:pPr>
      <w:r>
        <w:rPr>
          <w:rFonts w:ascii="Calibri" w:hAnsi="Calibri" w:eastAsia="Calibri"/>
          <w:color w:val="1D252C"/>
          <w:sz w:val="22"/>
        </w:rPr>
        <w:t>Describe workflow provenance as documentation of data, decisions, and transformations across stages.</w:t>
      </w:r>
    </w:p>
    <w:p>
      <w:pPr>
        <w:numPr>
          <w:ilvl w:val="0"/>
          <w:numId w:val="10"/>
        </w:numPr>
      </w:pPr>
      <w:r>
        <w:rPr>
          <w:rFonts w:ascii="Calibri" w:hAnsi="Calibri" w:eastAsia="Calibri"/>
          <w:color w:val="1D252C"/>
          <w:sz w:val="22"/>
        </w:rPr>
        <w:t>Relate Matrica’s verification and stale-state mechanisms to human control and error recovery.</w:t>
      </w:r>
    </w:p>
    <w:p>
      <w:pPr>
        <w:pStyle w:val="Heading3"/>
        <w:keepNext/>
      </w:pPr>
      <w:r>
        <w:t>3.5 Summary of the Literature Gap</w:t>
      </w:r>
    </w:p>
    <w:p>
      <w:pPr/>
      <w:r>
        <w:rPr>
          <w:rFonts w:ascii="Calibri" w:hAnsi="Calibri" w:eastAsia="Calibri"/>
          <w:i w:val="0"/>
          <w:color w:val="1D252C"/>
          <w:sz w:val="22"/>
        </w:rPr>
        <w:t>Conclude that the literature and product landscape offer strong support for individual research tasks, but leave an opportunity for systems that explicitly represent how upstream research decisions constrain and invalidate downstream outputs.</w:t>
      </w:r>
    </w:p>
    <w:p>
      <w:pPr>
        <w:pStyle w:val="Heading2"/>
        <w:keepNext/>
      </w:pPr>
      <w:r>
        <w:t>4. Research Methodology</w:t>
      </w:r>
    </w:p>
    <w:p>
      <w:pPr>
        <w:pStyle w:val="Heading3"/>
        <w:keepNext/>
      </w:pPr>
      <w:r>
        <w:t>4.1 Design Science Research</w:t>
      </w:r>
    </w:p>
    <w:p>
      <w:pPr/>
      <w:r>
        <w:rPr>
          <w:rFonts w:ascii="Calibri" w:hAnsi="Calibri" w:eastAsia="Calibri"/>
          <w:i w:val="0"/>
          <w:color w:val="1D252C"/>
          <w:sz w:val="22"/>
        </w:rPr>
        <w:t>Use the Design Science Research Methodology (DSRM) as the overarching method. Map the study to the following six activities:</w:t>
      </w:r>
    </w:p>
    <w:p>
      <w:pPr>
        <w:numPr>
          <w:ilvl w:val="0"/>
          <w:numId w:val="12"/>
        </w:numPr>
      </w:pPr>
      <w:r>
        <w:rPr>
          <w:rFonts w:ascii="Calibri" w:hAnsi="Calibri" w:eastAsia="Calibri"/>
          <w:color w:val="1D252C"/>
          <w:sz w:val="22"/>
        </w:rPr>
        <w:t>Problem identification and motivation.</w:t>
      </w:r>
    </w:p>
    <w:p>
      <w:pPr>
        <w:numPr>
          <w:ilvl w:val="0"/>
          <w:numId w:val="12"/>
        </w:numPr>
      </w:pPr>
      <w:r>
        <w:rPr>
          <w:rFonts w:ascii="Calibri" w:hAnsi="Calibri" w:eastAsia="Calibri"/>
          <w:color w:val="1D252C"/>
          <w:sz w:val="22"/>
        </w:rPr>
        <w:t>Definition of solution objectives.</w:t>
      </w:r>
    </w:p>
    <w:p>
      <w:pPr>
        <w:numPr>
          <w:ilvl w:val="0"/>
          <w:numId w:val="12"/>
        </w:numPr>
      </w:pPr>
      <w:r>
        <w:rPr>
          <w:rFonts w:ascii="Calibri" w:hAnsi="Calibri" w:eastAsia="Calibri"/>
          <w:color w:val="1D252C"/>
          <w:sz w:val="22"/>
        </w:rPr>
        <w:t>Design and development of the artifact.</w:t>
      </w:r>
    </w:p>
    <w:p>
      <w:pPr>
        <w:numPr>
          <w:ilvl w:val="0"/>
          <w:numId w:val="12"/>
        </w:numPr>
      </w:pPr>
      <w:r>
        <w:rPr>
          <w:rFonts w:ascii="Calibri" w:hAnsi="Calibri" w:eastAsia="Calibri"/>
          <w:color w:val="1D252C"/>
          <w:sz w:val="22"/>
        </w:rPr>
        <w:t>Demonstration through one or more literature-review cases.</w:t>
      </w:r>
    </w:p>
    <w:p>
      <w:pPr>
        <w:numPr>
          <w:ilvl w:val="0"/>
          <w:numId w:val="12"/>
        </w:numPr>
      </w:pPr>
      <w:r>
        <w:rPr>
          <w:rFonts w:ascii="Calibri" w:hAnsi="Calibri" w:eastAsia="Calibri"/>
          <w:color w:val="1D252C"/>
          <w:sz w:val="22"/>
        </w:rPr>
        <w:t>Evaluation using technical, task-performance, and user measures.</w:t>
      </w:r>
    </w:p>
    <w:p>
      <w:pPr>
        <w:numPr>
          <w:ilvl w:val="0"/>
          <w:numId w:val="12"/>
        </w:numPr>
      </w:pPr>
      <w:r>
        <w:rPr>
          <w:rFonts w:ascii="Calibri" w:hAnsi="Calibri" w:eastAsia="Calibri"/>
          <w:color w:val="1D252C"/>
          <w:sz w:val="22"/>
        </w:rPr>
        <w:t>Communication of the artifact and design knowledge.</w:t>
      </w:r>
    </w:p>
    <w:p>
      <w:pPr>
        <w:pStyle w:val="Heading3"/>
        <w:keepNext/>
      </w:pPr>
      <w:r>
        <w:t>4.2 Requirement Derivation</w:t>
      </w:r>
    </w:p>
    <w:p>
      <w:pPr/>
      <w:r>
        <w:rPr>
          <w:rFonts w:ascii="Calibri" w:hAnsi="Calibri" w:eastAsia="Calibri"/>
          <w:i w:val="0"/>
          <w:color w:val="1D252C"/>
          <w:sz w:val="22"/>
        </w:rPr>
        <w:t>Derive requirements from evidence-synthesis guidance, prior Research AI studies, human–AI interaction literature, and observed workflow problems. Separate functional requirements from trust, transparency, and recoverability requirements.</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650"/>
        <w:gridCol w:w="2200"/>
        <w:gridCol w:w="6510"/>
      </w:tblGrid>
      <w:tr>
        <w:trPr>
          <w:tblHeader w:val="true"/>
        </w:trPr>
        <w:tc>
          <w:tcPr>
            <w:tcW w:type="dxa" w:w="65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ID</w:t>
            </w:r>
          </w:p>
        </w:tc>
        <w:tc>
          <w:tcPr>
            <w:tcW w:type="dxa" w:w="22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Requirement</w:t>
            </w:r>
          </w:p>
        </w:tc>
        <w:tc>
          <w:tcPr>
            <w:tcW w:type="dxa" w:w="651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Operationalization</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R1</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Structured intent</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Capture the research domain, focus, population, method, and review type.</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R2</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Explicit process state</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Persist stage outputs in a shared project model.</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R3</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Transparent selection</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Expose search queries, screening criteria, decisions, and reasons.</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R4</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Comparable evidence</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Organize papers and systems against a common schema.</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R5</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Human oversight</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Support user editing, uncertainty review, and explicit verification.</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R6</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Change awareness</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Mark dependent outputs stale after upstream modification.</w:t>
            </w:r>
          </w:p>
        </w:tc>
      </w:tr>
      <w:tr>
        <w:tc>
          <w:tcPr>
            <w:tcW w:type="dxa" w:w="6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R7</w:t>
            </w:r>
          </w:p>
        </w:tc>
        <w:tc>
          <w:tcPr>
            <w:tcW w:type="dxa" w:w="2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Evidence-aligned outcomes</w:t>
            </w:r>
          </w:p>
        </w:tc>
        <w:tc>
          <w:tcPr>
            <w:tcW w:type="dxa" w:w="65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Derive gaps, topics, questions, and structure from prior artifacts.</w:t>
            </w:r>
          </w:p>
        </w:tc>
      </w:tr>
    </w:tbl>
    <w:p>
      <w:pPr>
        <w:spacing w:after="40"/>
      </w:pPr>
    </w:p>
    <w:p>
      <w:pPr>
        <w:pStyle w:val="Heading2"/>
        <w:keepNext/>
      </w:pPr>
      <w:r>
        <w:t>5. The Matrica Framework</w:t>
      </w:r>
    </w:p>
    <w:p>
      <w:pPr>
        <w:pStyle w:val="Heading3"/>
        <w:keepNext/>
      </w:pPr>
      <w:r>
        <w:t>5.1 Conceptual Workflow</w:t>
      </w:r>
    </w:p>
    <w:p>
      <w:pPr/>
      <w:r>
        <w:rPr>
          <w:rFonts w:ascii="Calibri" w:hAnsi="Calibri" w:eastAsia="Calibri"/>
          <w:i w:val="0"/>
          <w:color w:val="1D252C"/>
          <w:sz w:val="22"/>
        </w:rPr>
        <w:t>Present one end-to-end figure: research intent → Research Profile → schema definition → topic/query generation → evidence retrieval → protocol-based screening → evidence matrices → synthesis → gap identification → final topic and research questions → study design and paper structure.</w:t>
      </w:r>
    </w:p>
    <w:p>
      <w:pPr>
        <w:pStyle w:val="Heading3"/>
        <w:keepNext/>
      </w:pPr>
      <w:r>
        <w:t>5.2 Research Profile</w:t>
      </w:r>
    </w:p>
    <w:p>
      <w:pPr>
        <w:numPr>
          <w:ilvl w:val="0"/>
          <w:numId w:val="10"/>
        </w:numPr>
      </w:pPr>
      <w:r>
        <w:rPr>
          <w:rFonts w:ascii="Calibri" w:hAnsi="Calibri" w:eastAsia="Calibri"/>
          <w:color w:val="1D252C"/>
          <w:sz w:val="22"/>
        </w:rPr>
        <w:t>Describe the conversational elicitation of domain, population, focus, method, and review type.</w:t>
      </w:r>
    </w:p>
    <w:p>
      <w:pPr>
        <w:numPr>
          <w:ilvl w:val="0"/>
          <w:numId w:val="10"/>
        </w:numPr>
      </w:pPr>
      <w:r>
        <w:rPr>
          <w:rFonts w:ascii="Calibri" w:hAnsi="Calibri" w:eastAsia="Calibri"/>
          <w:color w:val="1D252C"/>
          <w:sz w:val="22"/>
        </w:rPr>
        <w:t>Explain how the profile becomes the canonical context supplied to later stages.</w:t>
      </w:r>
    </w:p>
    <w:p>
      <w:pPr>
        <w:numPr>
          <w:ilvl w:val="0"/>
          <w:numId w:val="10"/>
        </w:numPr>
      </w:pPr>
      <w:r>
        <w:rPr>
          <w:rFonts w:ascii="Calibri" w:hAnsi="Calibri" w:eastAsia="Calibri"/>
          <w:color w:val="1D252C"/>
          <w:sz w:val="22"/>
        </w:rPr>
        <w:t>Discuss the risks of incorrectly inferred profile fields and the need for user correction.</w:t>
      </w:r>
    </w:p>
    <w:p>
      <w:pPr>
        <w:pStyle w:val="Heading3"/>
        <w:keepNext/>
      </w:pPr>
      <w:r>
        <w:t>5.3 Schema-First Review Design</w:t>
      </w:r>
    </w:p>
    <w:p>
      <w:pPr>
        <w:numPr>
          <w:ilvl w:val="0"/>
          <w:numId w:val="10"/>
        </w:numPr>
      </w:pPr>
      <w:r>
        <w:rPr>
          <w:rFonts w:ascii="Calibri" w:hAnsi="Calibri" w:eastAsia="Calibri"/>
          <w:color w:val="1D252C"/>
          <w:sz w:val="22"/>
        </w:rPr>
        <w:t>Explain why extraction dimensions are considered before evidence collection.</w:t>
      </w:r>
    </w:p>
    <w:p>
      <w:pPr>
        <w:numPr>
          <w:ilvl w:val="0"/>
          <w:numId w:val="10"/>
        </w:numPr>
      </w:pPr>
      <w:r>
        <w:rPr>
          <w:rFonts w:ascii="Calibri" w:hAnsi="Calibri" w:eastAsia="Calibri"/>
          <w:color w:val="1D252C"/>
          <w:sz w:val="22"/>
        </w:rPr>
        <w:t>Describe generated literature-matrix columns and the optional system-comparison schema.</w:t>
      </w:r>
    </w:p>
    <w:p>
      <w:pPr>
        <w:numPr>
          <w:ilvl w:val="0"/>
          <w:numId w:val="10"/>
        </w:numPr>
      </w:pPr>
      <w:r>
        <w:rPr>
          <w:rFonts w:ascii="Calibri" w:hAnsi="Calibri" w:eastAsia="Calibri"/>
          <w:color w:val="1D252C"/>
          <w:sz w:val="22"/>
        </w:rPr>
        <w:t>Relate the schema to review type, methodological vocabulary, and the intended research focus.</w:t>
      </w:r>
    </w:p>
    <w:p>
      <w:pPr>
        <w:pStyle w:val="Heading3"/>
        <w:keepNext/>
      </w:pPr>
      <w:r>
        <w:t>5.4 Research-System Selection</w:t>
      </w:r>
    </w:p>
    <w:p>
      <w:pPr>
        <w:numPr>
          <w:ilvl w:val="0"/>
          <w:numId w:val="10"/>
        </w:numPr>
      </w:pPr>
      <w:r>
        <w:rPr>
          <w:rFonts w:ascii="Calibri" w:hAnsi="Calibri" w:eastAsia="Calibri"/>
          <w:color w:val="1D252C"/>
          <w:sz w:val="22"/>
        </w:rPr>
        <w:t>Describe how relevant scholarly databases, AI tools, software platforms, or domain systems can be selected for comparison.</w:t>
      </w:r>
    </w:p>
    <w:p>
      <w:pPr>
        <w:numPr>
          <w:ilvl w:val="0"/>
          <w:numId w:val="10"/>
        </w:numPr>
      </w:pPr>
      <w:r>
        <w:rPr>
          <w:rFonts w:ascii="Calibri" w:hAnsi="Calibri" w:eastAsia="Calibri"/>
          <w:color w:val="1D252C"/>
          <w:sz w:val="22"/>
        </w:rPr>
        <w:t>Clarify that the system matrix is optional and appropriate only when the research question concerns technologies or systems.</w:t>
      </w:r>
    </w:p>
    <w:p>
      <w:pPr>
        <w:pStyle w:val="Heading3"/>
        <w:keepNext/>
      </w:pPr>
      <w:r>
        <w:t>5.5 Topic and Query Formulation</w:t>
      </w:r>
    </w:p>
    <w:p>
      <w:pPr>
        <w:numPr>
          <w:ilvl w:val="0"/>
          <w:numId w:val="10"/>
        </w:numPr>
      </w:pPr>
      <w:r>
        <w:rPr>
          <w:rFonts w:ascii="Calibri" w:hAnsi="Calibri" w:eastAsia="Calibri"/>
          <w:color w:val="1D252C"/>
          <w:sz w:val="22"/>
        </w:rPr>
        <w:t>Explain the generation of topic candidates, rationales, confidence labels, and profile-match indicators.</w:t>
      </w:r>
    </w:p>
    <w:p>
      <w:pPr>
        <w:numPr>
          <w:ilvl w:val="0"/>
          <w:numId w:val="10"/>
        </w:numPr>
      </w:pPr>
      <w:r>
        <w:rPr>
          <w:rFonts w:ascii="Calibri" w:hAnsi="Calibri" w:eastAsia="Calibri"/>
          <w:color w:val="1D252C"/>
          <w:sz w:val="22"/>
        </w:rPr>
        <w:t>Show the relationship between selected topics and Boolean search queries.</w:t>
      </w:r>
    </w:p>
    <w:p>
      <w:pPr>
        <w:numPr>
          <w:ilvl w:val="0"/>
          <w:numId w:val="10"/>
        </w:numPr>
      </w:pPr>
      <w:r>
        <w:rPr>
          <w:rFonts w:ascii="Calibri" w:hAnsi="Calibri" w:eastAsia="Calibri"/>
          <w:color w:val="1D252C"/>
          <w:sz w:val="22"/>
        </w:rPr>
        <w:t>Document user editing and query-state changes.</w:t>
      </w:r>
    </w:p>
    <w:p>
      <w:pPr>
        <w:pStyle w:val="Heading3"/>
        <w:keepNext/>
      </w:pPr>
      <w:r>
        <w:t>5.6 Scholarly Retrieval and Deduplication</w:t>
      </w:r>
    </w:p>
    <w:p>
      <w:pPr>
        <w:numPr>
          <w:ilvl w:val="0"/>
          <w:numId w:val="10"/>
        </w:numPr>
      </w:pPr>
      <w:r>
        <w:rPr>
          <w:rFonts w:ascii="Calibri" w:hAnsi="Calibri" w:eastAsia="Calibri"/>
          <w:color w:val="1D252C"/>
          <w:sz w:val="22"/>
        </w:rPr>
        <w:t>Describe searches against OpenAlex and PubMed, pagination, filters, and result counts.</w:t>
      </w:r>
    </w:p>
    <w:p>
      <w:pPr>
        <w:numPr>
          <w:ilvl w:val="0"/>
          <w:numId w:val="10"/>
        </w:numPr>
      </w:pPr>
      <w:r>
        <w:rPr>
          <w:rFonts w:ascii="Calibri" w:hAnsi="Calibri" w:eastAsia="Calibri"/>
          <w:color w:val="1D252C"/>
          <w:sz w:val="22"/>
        </w:rPr>
        <w:t>Explain deduplication by DOI and normalized title.</w:t>
      </w:r>
    </w:p>
    <w:p>
      <w:pPr>
        <w:numPr>
          <w:ilvl w:val="0"/>
          <w:numId w:val="10"/>
        </w:numPr>
      </w:pPr>
      <w:r>
        <w:rPr>
          <w:rFonts w:ascii="Calibri" w:hAnsi="Calibri" w:eastAsia="Calibri"/>
          <w:color w:val="1D252C"/>
          <w:sz w:val="22"/>
        </w:rPr>
        <w:t>Describe abstract recovery from PubMed, OpenAlex, or Crossref where available.</w:t>
      </w:r>
    </w:p>
    <w:p>
      <w:pPr>
        <w:pStyle w:val="Heading3"/>
        <w:keepNext/>
      </w:pPr>
      <w:r>
        <w:t>5.7 Protocol-Based Screening</w:t>
      </w:r>
    </w:p>
    <w:p>
      <w:pPr>
        <w:numPr>
          <w:ilvl w:val="0"/>
          <w:numId w:val="10"/>
        </w:numPr>
      </w:pPr>
      <w:r>
        <w:rPr>
          <w:rFonts w:ascii="Calibri" w:hAnsi="Calibri" w:eastAsia="Calibri"/>
          <w:color w:val="1D252C"/>
          <w:sz w:val="22"/>
        </w:rPr>
        <w:t>Describe inclusion and exclusion criteria and the include/exclude/uncertain decision states.</w:t>
      </w:r>
    </w:p>
    <w:p>
      <w:pPr>
        <w:numPr>
          <w:ilvl w:val="0"/>
          <w:numId w:val="10"/>
        </w:numPr>
      </w:pPr>
      <w:r>
        <w:rPr>
          <w:rFonts w:ascii="Calibri" w:hAnsi="Calibri" w:eastAsia="Calibri"/>
          <w:color w:val="1D252C"/>
          <w:sz w:val="22"/>
        </w:rPr>
        <w:t>Explain criterion-linked exclusion reasons and human confirmation.</w:t>
      </w:r>
    </w:p>
    <w:p>
      <w:pPr>
        <w:numPr>
          <w:ilvl w:val="0"/>
          <w:numId w:val="10"/>
        </w:numPr>
      </w:pPr>
      <w:r>
        <w:rPr>
          <w:rFonts w:ascii="Calibri" w:hAnsi="Calibri" w:eastAsia="Calibri"/>
          <w:color w:val="1D252C"/>
          <w:sz w:val="22"/>
        </w:rPr>
        <w:t>Emphasize that insufficient abstract evidence should produce uncertainty rather than a forced decision.</w:t>
      </w:r>
    </w:p>
    <w:p>
      <w:pPr>
        <w:pStyle w:val="Heading3"/>
        <w:keepNext/>
      </w:pPr>
      <w:r>
        <w:t>5.8 Literature and System Matrices</w:t>
      </w:r>
    </w:p>
    <w:p>
      <w:pPr>
        <w:numPr>
          <w:ilvl w:val="0"/>
          <w:numId w:val="10"/>
        </w:numPr>
      </w:pPr>
      <w:r>
        <w:rPr>
          <w:rFonts w:ascii="Calibri" w:hAnsi="Calibri" w:eastAsia="Calibri"/>
          <w:color w:val="1D252C"/>
          <w:sz w:val="22"/>
        </w:rPr>
        <w:t>Describe one row per paper or system and one column per comparison construct.</w:t>
      </w:r>
    </w:p>
    <w:p>
      <w:pPr>
        <w:numPr>
          <w:ilvl w:val="0"/>
          <w:numId w:val="10"/>
        </w:numPr>
      </w:pPr>
      <w:r>
        <w:rPr>
          <w:rFonts w:ascii="Calibri" w:hAnsi="Calibri" w:eastAsia="Calibri"/>
          <w:color w:val="1D252C"/>
          <w:sz w:val="22"/>
        </w:rPr>
        <w:t>Define cell value, AI-generated status, evidence type, extraction method, confidence, source reference, and verification state.</w:t>
      </w:r>
    </w:p>
    <w:p>
      <w:pPr>
        <w:numPr>
          <w:ilvl w:val="0"/>
          <w:numId w:val="10"/>
        </w:numPr>
      </w:pPr>
      <w:r>
        <w:rPr>
          <w:rFonts w:ascii="Calibri" w:hAnsi="Calibri" w:eastAsia="Calibri"/>
          <w:color w:val="1D252C"/>
          <w:sz w:val="22"/>
        </w:rPr>
        <w:t>Explain abstract and open-access full-text extraction, including its limitations.</w:t>
      </w:r>
    </w:p>
    <w:p>
      <w:pPr>
        <w:pStyle w:val="Heading3"/>
        <w:keepNext/>
      </w:pPr>
      <w:r>
        <w:t>5.9 Evidence Synthesis</w:t>
      </w:r>
    </w:p>
    <w:p>
      <w:pPr>
        <w:numPr>
          <w:ilvl w:val="0"/>
          <w:numId w:val="10"/>
        </w:numPr>
      </w:pPr>
      <w:r>
        <w:rPr>
          <w:rFonts w:ascii="Calibri" w:hAnsi="Calibri" w:eastAsia="Calibri"/>
          <w:color w:val="1D252C"/>
          <w:sz w:val="22"/>
        </w:rPr>
        <w:t>Explain how matrix columns support cross-paper themes and recurring patterns.</w:t>
      </w:r>
    </w:p>
    <w:p>
      <w:pPr>
        <w:numPr>
          <w:ilvl w:val="0"/>
          <w:numId w:val="10"/>
        </w:numPr>
      </w:pPr>
      <w:r>
        <w:rPr>
          <w:rFonts w:ascii="Calibri" w:hAnsi="Calibri" w:eastAsia="Calibri"/>
          <w:color w:val="1D252C"/>
          <w:sz w:val="22"/>
        </w:rPr>
        <w:t>Describe how ambiguous, sparse, or missing evidence is surfaced without presenting it as a validated scholarly gap by itself.</w:t>
      </w:r>
    </w:p>
    <w:p>
      <w:pPr>
        <w:numPr>
          <w:ilvl w:val="0"/>
          <w:numId w:val="10"/>
        </w:numPr>
      </w:pPr>
      <w:r>
        <w:rPr>
          <w:rFonts w:ascii="Calibri" w:hAnsi="Calibri" w:eastAsia="Calibri"/>
          <w:color w:val="1D252C"/>
          <w:sz w:val="22"/>
        </w:rPr>
        <w:t>Keep this section focused on default evidence synthesis; custom Analyst functionality is outside scope.</w:t>
      </w:r>
    </w:p>
    <w:p>
      <w:pPr>
        <w:pStyle w:val="Heading3"/>
        <w:keepNext/>
      </w:pPr>
      <w:r>
        <w:t>5.10 Research-Gap Identification</w:t>
      </w:r>
    </w:p>
    <w:p>
      <w:pPr>
        <w:numPr>
          <w:ilvl w:val="0"/>
          <w:numId w:val="10"/>
        </w:numPr>
      </w:pPr>
      <w:r>
        <w:rPr>
          <w:rFonts w:ascii="Calibri" w:hAnsi="Calibri" w:eastAsia="Calibri"/>
          <w:color w:val="1D252C"/>
          <w:sz w:val="22"/>
        </w:rPr>
        <w:t>Define a valid gap as an unresolved question, population, setting, mechanism, outcome, method, or implementation issue.</w:t>
      </w:r>
    </w:p>
    <w:p>
      <w:pPr>
        <w:numPr>
          <w:ilvl w:val="0"/>
          <w:numId w:val="10"/>
        </w:numPr>
      </w:pPr>
      <w:r>
        <w:rPr>
          <w:rFonts w:ascii="Calibri" w:hAnsi="Calibri" w:eastAsia="Calibri"/>
          <w:color w:val="1D252C"/>
          <w:sz w:val="22"/>
        </w:rPr>
        <w:t>Explain the comparison between intended research focus and actual matrix evidence.</w:t>
      </w:r>
    </w:p>
    <w:p>
      <w:pPr>
        <w:numPr>
          <w:ilvl w:val="0"/>
          <w:numId w:val="10"/>
        </w:numPr>
      </w:pPr>
      <w:r>
        <w:rPr>
          <w:rFonts w:ascii="Calibri" w:hAnsi="Calibri" w:eastAsia="Calibri"/>
          <w:color w:val="1D252C"/>
          <w:sz w:val="22"/>
        </w:rPr>
        <w:t>Describe focused cross-axis gap analysis where a single schema dimension is compared across papers or systems.</w:t>
      </w:r>
    </w:p>
    <w:p>
      <w:pPr>
        <w:pStyle w:val="Heading3"/>
        <w:keepNext/>
      </w:pPr>
      <w:r>
        <w:t>5.11 Final Topic, Research Questions, and Study Design</w:t>
      </w:r>
    </w:p>
    <w:p>
      <w:pPr>
        <w:numPr>
          <w:ilvl w:val="0"/>
          <w:numId w:val="10"/>
        </w:numPr>
      </w:pPr>
      <w:r>
        <w:rPr>
          <w:rFonts w:ascii="Calibri" w:hAnsi="Calibri" w:eastAsia="Calibri"/>
          <w:color w:val="1D252C"/>
          <w:sz w:val="22"/>
        </w:rPr>
        <w:t>Explain how final topics are derived from synthesis themes and the gap statement.</w:t>
      </w:r>
    </w:p>
    <w:p>
      <w:pPr>
        <w:numPr>
          <w:ilvl w:val="0"/>
          <w:numId w:val="10"/>
        </w:numPr>
      </w:pPr>
      <w:r>
        <w:rPr>
          <w:rFonts w:ascii="Calibri" w:hAnsi="Calibri" w:eastAsia="Calibri"/>
          <w:color w:val="1D252C"/>
          <w:sz w:val="22"/>
        </w:rPr>
        <w:t>Describe alternative research-question formats and user selection.</w:t>
      </w:r>
    </w:p>
    <w:p>
      <w:pPr>
        <w:numPr>
          <w:ilvl w:val="0"/>
          <w:numId w:val="10"/>
        </w:numPr>
      </w:pPr>
      <w:r>
        <w:rPr>
          <w:rFonts w:ascii="Calibri" w:hAnsi="Calibri" w:eastAsia="Calibri"/>
          <w:color w:val="1D252C"/>
          <w:sz w:val="22"/>
        </w:rPr>
        <w:t>Explain constrained study-design matching from a fixed catalog rather than unconstrained design invention.</w:t>
      </w:r>
    </w:p>
    <w:p>
      <w:pPr>
        <w:numPr>
          <w:ilvl w:val="0"/>
          <w:numId w:val="10"/>
        </w:numPr>
      </w:pPr>
      <w:r>
        <w:rPr>
          <w:rFonts w:ascii="Calibri" w:hAnsi="Calibri" w:eastAsia="Calibri"/>
          <w:color w:val="1D252C"/>
          <w:sz w:val="22"/>
        </w:rPr>
        <w:t>Describe paper-structure generation from reporting-guideline anchor sections.</w:t>
      </w:r>
    </w:p>
    <w:p>
      <w:pPr>
        <w:pStyle w:val="Heading3"/>
        <w:keepNext/>
      </w:pPr>
      <w:r>
        <w:t>5.12 Cross-Cutting Workflow Controls</w:t>
      </w:r>
    </w:p>
    <w:p>
      <w:pPr>
        <w:numPr>
          <w:ilvl w:val="0"/>
          <w:numId w:val="10"/>
        </w:numPr>
      </w:pPr>
      <w:r>
        <w:rPr>
          <w:rFonts w:ascii="Calibri" w:hAnsi="Calibri" w:eastAsia="Calibri"/>
          <w:color w:val="1D252C"/>
          <w:sz w:val="22"/>
        </w:rPr>
        <w:t>Shared structured research context.</w:t>
      </w:r>
    </w:p>
    <w:p>
      <w:pPr>
        <w:numPr>
          <w:ilvl w:val="0"/>
          <w:numId w:val="10"/>
        </w:numPr>
      </w:pPr>
      <w:r>
        <w:rPr>
          <w:rFonts w:ascii="Calibri" w:hAnsi="Calibri" w:eastAsia="Calibri"/>
          <w:color w:val="1D252C"/>
          <w:sz w:val="22"/>
        </w:rPr>
        <w:t>Undo, redo, project persistence, and decision history.</w:t>
      </w:r>
    </w:p>
    <w:p>
      <w:pPr>
        <w:numPr>
          <w:ilvl w:val="0"/>
          <w:numId w:val="10"/>
        </w:numPr>
      </w:pPr>
      <w:r>
        <w:rPr>
          <w:rFonts w:ascii="Calibri" w:hAnsi="Calibri" w:eastAsia="Calibri"/>
          <w:color w:val="1D252C"/>
          <w:sz w:val="22"/>
        </w:rPr>
        <w:t>AI-origin and confidence indicators.</w:t>
      </w:r>
    </w:p>
    <w:p>
      <w:pPr>
        <w:numPr>
          <w:ilvl w:val="0"/>
          <w:numId w:val="10"/>
        </w:numPr>
      </w:pPr>
      <w:r>
        <w:rPr>
          <w:rFonts w:ascii="Calibri" w:hAnsi="Calibri" w:eastAsia="Calibri"/>
          <w:color w:val="1D252C"/>
          <w:sz w:val="22"/>
        </w:rPr>
        <w:t>User verification and manual editing.</w:t>
      </w:r>
    </w:p>
    <w:p>
      <w:pPr>
        <w:numPr>
          <w:ilvl w:val="0"/>
          <w:numId w:val="10"/>
        </w:numPr>
      </w:pPr>
      <w:r>
        <w:rPr>
          <w:rFonts w:ascii="Calibri" w:hAnsi="Calibri" w:eastAsia="Calibri"/>
          <w:color w:val="1D252C"/>
          <w:sz w:val="22"/>
        </w:rPr>
        <w:t>Stale-state propagation after upstream changes.</w:t>
      </w:r>
    </w:p>
    <w:p>
      <w:pPr>
        <w:pStyle w:val="Heading2"/>
        <w:keepNext/>
      </w:pPr>
      <w:r>
        <w:t>6. System Architecture and Implementation</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2400"/>
        <w:gridCol w:w="5460"/>
      </w:tblGrid>
      <w:tr>
        <w:trPr>
          <w:tblHeader w:val="true"/>
        </w:trPr>
        <w:tc>
          <w:tcPr>
            <w:tcW w:type="dxa" w:w="15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Layer</w:t>
            </w:r>
          </w:p>
        </w:tc>
        <w:tc>
          <w:tcPr>
            <w:tcW w:type="dxa" w:w="24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Implementation</w:t>
            </w:r>
          </w:p>
        </w:tc>
        <w:tc>
          <w:tcPr>
            <w:tcW w:type="dxa" w:w="546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Responsibility</w:t>
            </w:r>
          </w:p>
        </w:tc>
      </w:tr>
      <w:tr>
        <w:tc>
          <w:tcPr>
            <w:tcW w:type="dxa" w:w="15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Presentation</w:t>
            </w:r>
          </w:p>
        </w:tc>
        <w:tc>
          <w:tcPr>
            <w:tcW w:type="dxa" w:w="24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React, TypeScript, Vite</w:t>
            </w:r>
          </w:p>
        </w:tc>
        <w:tc>
          <w:tcPr>
            <w:tcW w:type="dxa" w:w="54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Nine-step workflow, matrices, screening workspace, synthesis, gap, and final-question interfaces.</w:t>
            </w:r>
          </w:p>
        </w:tc>
      </w:tr>
      <w:tr>
        <w:tc>
          <w:tcPr>
            <w:tcW w:type="dxa" w:w="15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Workflow state</w:t>
            </w:r>
          </w:p>
        </w:tc>
        <w:tc>
          <w:tcPr>
            <w:tcW w:type="dxa" w:w="24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AppState and reducer</w:t>
            </w:r>
          </w:p>
        </w:tc>
        <w:tc>
          <w:tcPr>
            <w:tcW w:type="dxa" w:w="54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Shared project state, actions, undo/redo, stale steps, and context construction.</w:t>
            </w:r>
          </w:p>
        </w:tc>
      </w:tr>
      <w:tr>
        <w:tc>
          <w:tcPr>
            <w:tcW w:type="dxa" w:w="15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AI orchestration</w:t>
            </w:r>
          </w:p>
        </w:tc>
        <w:tc>
          <w:tcPr>
            <w:tcW w:type="dxa" w:w="24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FastAPI and structured prompts</w:t>
            </w:r>
          </w:p>
        </w:tc>
        <w:tc>
          <w:tcPr>
            <w:tcW w:type="dxa" w:w="54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Stage-specific API routes and validated JSON-shaped model outputs.</w:t>
            </w:r>
          </w:p>
        </w:tc>
      </w:tr>
      <w:tr>
        <w:tc>
          <w:tcPr>
            <w:tcW w:type="dxa" w:w="15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Evidence acquisition</w:t>
            </w:r>
          </w:p>
        </w:tc>
        <w:tc>
          <w:tcPr>
            <w:tcW w:type="dxa" w:w="24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OpenAlex, PubMed, Crossref, OA full text</w:t>
            </w:r>
          </w:p>
        </w:tc>
        <w:tc>
          <w:tcPr>
            <w:tcW w:type="dxa" w:w="54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Real scholarly metadata, abstracts, identifiers, filters, and optional full-text extraction.</w:t>
            </w:r>
          </w:p>
        </w:tc>
      </w:tr>
      <w:tr>
        <w:tc>
          <w:tcPr>
            <w:tcW w:type="dxa" w:w="15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Trust and control</w:t>
            </w:r>
          </w:p>
        </w:tc>
        <w:tc>
          <w:tcPr>
            <w:tcW w:type="dxa" w:w="24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Metadata and interaction components</w:t>
            </w:r>
          </w:p>
        </w:tc>
        <w:tc>
          <w:tcPr>
            <w:tcW w:type="dxa" w:w="54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Confidence, evidence type, extraction method, user verification, and decision journal.</w:t>
            </w:r>
          </w:p>
        </w:tc>
      </w:tr>
      <w:tr>
        <w:tc>
          <w:tcPr>
            <w:tcW w:type="dxa" w:w="15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Persistence and export</w:t>
            </w:r>
          </w:p>
        </w:tc>
        <w:tc>
          <w:tcPr>
            <w:tcW w:type="dxa" w:w="24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Local cache and backend snapshots</w:t>
            </w:r>
          </w:p>
        </w:tc>
        <w:tc>
          <w:tcPr>
            <w:tcW w:type="dxa" w:w="54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Autosave, project recovery, version state, and document/data export.</w:t>
            </w:r>
          </w:p>
        </w:tc>
      </w:tr>
    </w:tbl>
    <w:p>
      <w:pPr>
        <w:spacing w:after="40"/>
      </w:pPr>
    </w:p>
    <w:p>
      <w:pPr>
        <w:pStyle w:val="Heading3"/>
        <w:keepNext/>
      </w:pPr>
      <w:r>
        <w:t>6.1 Frontend Architecture</w:t>
      </w:r>
    </w:p>
    <w:p>
      <w:pPr>
        <w:numPr>
          <w:ilvl w:val="0"/>
          <w:numId w:val="10"/>
        </w:numPr>
      </w:pPr>
      <w:r>
        <w:rPr>
          <w:rFonts w:ascii="Calibri" w:hAnsi="Calibri" w:eastAsia="Calibri"/>
          <w:color w:val="1D252C"/>
          <w:sz w:val="22"/>
        </w:rPr>
        <w:t>Describe screen routing, shared state, typed data models, and action-based state changes.</w:t>
      </w:r>
    </w:p>
    <w:p>
      <w:pPr>
        <w:numPr>
          <w:ilvl w:val="0"/>
          <w:numId w:val="10"/>
        </w:numPr>
      </w:pPr>
      <w:r>
        <w:rPr>
          <w:rFonts w:ascii="Calibri" w:hAnsi="Calibri" w:eastAsia="Calibri"/>
          <w:color w:val="1D252C"/>
          <w:sz w:val="22"/>
        </w:rPr>
        <w:t>Explain how downstream components consume structured outputs from prior stages.</w:t>
      </w:r>
    </w:p>
    <w:p>
      <w:pPr>
        <w:numPr>
          <w:ilvl w:val="0"/>
          <w:numId w:val="10"/>
        </w:numPr>
      </w:pPr>
      <w:r>
        <w:rPr>
          <w:rFonts w:ascii="Calibri" w:hAnsi="Calibri" w:eastAsia="Calibri"/>
          <w:color w:val="1D252C"/>
          <w:sz w:val="22"/>
        </w:rPr>
        <w:t>Describe the UI representation of confidence, uncertainty, stale content, and verification.</w:t>
      </w:r>
    </w:p>
    <w:p>
      <w:pPr>
        <w:pStyle w:val="Heading3"/>
        <w:keepNext/>
      </w:pPr>
      <w:r>
        <w:t>6.2 Backend Architecture</w:t>
      </w:r>
    </w:p>
    <w:p>
      <w:pPr>
        <w:numPr>
          <w:ilvl w:val="0"/>
          <w:numId w:val="10"/>
        </w:numPr>
      </w:pPr>
      <w:r>
        <w:rPr>
          <w:rFonts w:ascii="Calibri" w:hAnsi="Calibri" w:eastAsia="Calibri"/>
          <w:color w:val="1D252C"/>
          <w:sz w:val="22"/>
        </w:rPr>
        <w:t>Describe modular FastAPI routers for each research stage.</w:t>
      </w:r>
    </w:p>
    <w:p>
      <w:pPr>
        <w:numPr>
          <w:ilvl w:val="0"/>
          <w:numId w:val="10"/>
        </w:numPr>
      </w:pPr>
      <w:r>
        <w:rPr>
          <w:rFonts w:ascii="Calibri" w:hAnsi="Calibri" w:eastAsia="Calibri"/>
          <w:color w:val="1D252C"/>
          <w:sz w:val="22"/>
        </w:rPr>
        <w:t>Explain prompt specialization and structured response parsing.</w:t>
      </w:r>
    </w:p>
    <w:p>
      <w:pPr>
        <w:numPr>
          <w:ilvl w:val="0"/>
          <w:numId w:val="10"/>
        </w:numPr>
      </w:pPr>
      <w:r>
        <w:rPr>
          <w:rFonts w:ascii="Calibri" w:hAnsi="Calibri" w:eastAsia="Calibri"/>
          <w:color w:val="1D252C"/>
          <w:sz w:val="22"/>
        </w:rPr>
        <w:t>Describe database retrieval, abstract recovery, open-access full-text handling, and failure modes.</w:t>
      </w:r>
    </w:p>
    <w:p>
      <w:pPr>
        <w:pStyle w:val="Heading3"/>
        <w:keepNext/>
      </w:pPr>
      <w:r>
        <w:t>6.3 State, Dependency, and Persistence Model</w:t>
      </w:r>
    </w:p>
    <w:p>
      <w:pPr>
        <w:numPr>
          <w:ilvl w:val="0"/>
          <w:numId w:val="10"/>
        </w:numPr>
      </w:pPr>
      <w:r>
        <w:rPr>
          <w:rFonts w:ascii="Calibri" w:hAnsi="Calibri" w:eastAsia="Calibri"/>
          <w:color w:val="1D252C"/>
          <w:sz w:val="22"/>
        </w:rPr>
        <w:t>Explain the SessionSnapshot and project persistence mechanism.</w:t>
      </w:r>
    </w:p>
    <w:p>
      <w:pPr>
        <w:numPr>
          <w:ilvl w:val="0"/>
          <w:numId w:val="10"/>
        </w:numPr>
      </w:pPr>
      <w:r>
        <w:rPr>
          <w:rFonts w:ascii="Calibri" w:hAnsi="Calibri" w:eastAsia="Calibri"/>
          <w:color w:val="1D252C"/>
          <w:sz w:val="22"/>
        </w:rPr>
        <w:t>Show how upstream editing marks later steps as stale without deleting user work.</w:t>
      </w:r>
    </w:p>
    <w:p>
      <w:pPr>
        <w:numPr>
          <w:ilvl w:val="0"/>
          <w:numId w:val="10"/>
        </w:numPr>
      </w:pPr>
      <w:r>
        <w:rPr>
          <w:rFonts w:ascii="Calibri" w:hAnsi="Calibri" w:eastAsia="Calibri"/>
          <w:color w:val="1D252C"/>
          <w:sz w:val="22"/>
        </w:rPr>
        <w:t>Explain the decision journal and the distinction between model suggestions and user-approved state.</w:t>
      </w:r>
    </w:p>
    <w:p>
      <w:pPr>
        <w:pStyle w:val="Heading2"/>
        <w:keepNext/>
      </w:pPr>
      <w:r>
        <w:t>7. Evaluation</w:t>
      </w:r>
    </w:p>
    <w:p>
      <w:pPr>
        <w:pStyle w:val="Heading3"/>
        <w:keepNext/>
      </w:pPr>
      <w:r>
        <w:t>7.1 Evaluation Objectives</w:t>
      </w:r>
    </w:p>
    <w:p>
      <w:pPr>
        <w:numPr>
          <w:ilvl w:val="0"/>
          <w:numId w:val="10"/>
        </w:numPr>
      </w:pPr>
      <w:r>
        <w:rPr>
          <w:rFonts w:ascii="Calibri" w:hAnsi="Calibri" w:eastAsia="Calibri"/>
          <w:color w:val="1D252C"/>
          <w:sz w:val="22"/>
        </w:rPr>
        <w:t>Assess whether the artifact operates correctly as an integrated workflow.</w:t>
      </w:r>
    </w:p>
    <w:p>
      <w:pPr>
        <w:numPr>
          <w:ilvl w:val="0"/>
          <w:numId w:val="10"/>
        </w:numPr>
      </w:pPr>
      <w:r>
        <w:rPr>
          <w:rFonts w:ascii="Calibri" w:hAnsi="Calibri" w:eastAsia="Calibri"/>
          <w:color w:val="1D252C"/>
          <w:sz w:val="22"/>
        </w:rPr>
        <w:t>Measure retrieval, screening, and extraction quality against a gold standard.</w:t>
      </w:r>
    </w:p>
    <w:p>
      <w:pPr>
        <w:numPr>
          <w:ilvl w:val="0"/>
          <w:numId w:val="10"/>
        </w:numPr>
      </w:pPr>
      <w:r>
        <w:rPr>
          <w:rFonts w:ascii="Calibri" w:hAnsi="Calibri" w:eastAsia="Calibri"/>
          <w:color w:val="1D252C"/>
          <w:sz w:val="22"/>
        </w:rPr>
        <w:t>Assess efficiency, workload, usability, and perceived control.</w:t>
      </w:r>
    </w:p>
    <w:p>
      <w:pPr>
        <w:numPr>
          <w:ilvl w:val="0"/>
          <w:numId w:val="10"/>
        </w:numPr>
      </w:pPr>
      <w:r>
        <w:rPr>
          <w:rFonts w:ascii="Calibri" w:hAnsi="Calibri" w:eastAsia="Calibri"/>
          <w:color w:val="1D252C"/>
          <w:sz w:val="22"/>
        </w:rPr>
        <w:t>Examine whether traceability and stale-state features improve error detection and appropriate reliance.</w:t>
      </w:r>
    </w:p>
    <w:p>
      <w:pPr>
        <w:pStyle w:val="Heading3"/>
        <w:keepNext/>
      </w:pPr>
      <w:r>
        <w:t>7.2 Baselines</w:t>
      </w:r>
    </w:p>
    <w:p>
      <w:pPr>
        <w:numPr>
          <w:ilvl w:val="0"/>
          <w:numId w:val="10"/>
        </w:numPr>
      </w:pPr>
      <w:r>
        <w:rPr>
          <w:rFonts w:ascii="Calibri" w:hAnsi="Calibri" w:eastAsia="Calibri"/>
          <w:color w:val="1D252C"/>
          <w:sz w:val="22"/>
        </w:rPr>
        <w:t>Manual structured review using a search interface, spreadsheet, and document editor.</w:t>
      </w:r>
    </w:p>
    <w:p>
      <w:pPr>
        <w:numPr>
          <w:ilvl w:val="0"/>
          <w:numId w:val="10"/>
        </w:numPr>
      </w:pPr>
      <w:r>
        <w:rPr>
          <w:rFonts w:ascii="Calibri" w:hAnsi="Calibri" w:eastAsia="Calibri"/>
          <w:color w:val="1D252C"/>
          <w:sz w:val="22"/>
        </w:rPr>
        <w:t>Elicit as the closest workflow-level comparator, where access permits.</w:t>
      </w:r>
    </w:p>
    <w:p>
      <w:pPr>
        <w:numPr>
          <w:ilvl w:val="0"/>
          <w:numId w:val="10"/>
        </w:numPr>
      </w:pPr>
      <w:r>
        <w:rPr>
          <w:rFonts w:ascii="Calibri" w:hAnsi="Calibri" w:eastAsia="Calibri"/>
          <w:color w:val="1D252C"/>
          <w:sz w:val="22"/>
        </w:rPr>
        <w:t>Gemini Notebook and Perplexity Research for functional comparison of interaction and output models, not necessarily for every accuracy benchmark.</w:t>
      </w:r>
    </w:p>
    <w:p>
      <w:pPr>
        <w:pStyle w:val="Heading3"/>
        <w:keepNext/>
      </w:pPr>
      <w:r>
        <w:t>7.3 Benchmark Case</w:t>
      </w:r>
    </w:p>
    <w:p>
      <w:pPr/>
      <w:r>
        <w:rPr>
          <w:rFonts w:ascii="Calibri" w:hAnsi="Calibri" w:eastAsia="Calibri"/>
          <w:i w:val="0"/>
          <w:color w:val="1D252C"/>
          <w:sz w:val="22"/>
        </w:rPr>
        <w:t>Select one or more completed systematic or scoping reviews with accessible search strategies, included/excluded studies, and extraction tables. Treat the published review as a reference set while acknowledging that human review decisions can also contain errors.</w:t>
      </w:r>
    </w:p>
    <w:p>
      <w:pPr>
        <w:pStyle w:val="Heading3"/>
        <w:keepNext/>
      </w:pPr>
      <w:r>
        <w:t>7.4 Quantitative Measures</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450"/>
        <w:gridCol w:w="3200"/>
        <w:gridCol w:w="4710"/>
      </w:tblGrid>
      <w:tr>
        <w:trPr>
          <w:tblHeader w:val="true"/>
        </w:trPr>
        <w:tc>
          <w:tcPr>
            <w:tcW w:type="dxa" w:w="145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Stage</w:t>
            </w:r>
          </w:p>
        </w:tc>
        <w:tc>
          <w:tcPr>
            <w:tcW w:type="dxa" w:w="32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Measures</w:t>
            </w:r>
          </w:p>
        </w:tc>
        <w:tc>
          <w:tcPr>
            <w:tcW w:type="dxa" w:w="471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Evaluation question</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Retrieval</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Recall@N; Precision@N; known-study coverage</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Does the workflow retrieve the studies used by the benchmark review?</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Screening</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Sensitivity; specificity; F1; false-exclusion rate; uncertain rate</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Does the system preserve relevant papers while reducing unnecessary review?</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Extraction</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Cell accuracy; evidence-span correctness; human correction rate</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Are matrix values accurate and supported by the source text?</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Gap and RQ</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Expert rubric: grounding, specificity, feasibility, actionability</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Are downstream outputs defensible consequences of the reviewed evidence?</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Efficiency</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Completion time; interactions; edits; regeneration count</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Does the system reduce effort without hiding necessary work?</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Usability</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SUS; NASA-TLX; completion rate</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Can intended users complete the workflow effectively?</w:t>
            </w:r>
          </w:p>
        </w:tc>
      </w:tr>
      <w:tr>
        <w:tc>
          <w:tcPr>
            <w:tcW w:type="dxa" w:w="14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Trust</w:t>
            </w:r>
          </w:p>
        </w:tc>
        <w:tc>
          <w:tcPr>
            <w:tcW w:type="dxa" w:w="32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Error-detection rate; appropriate reliance; confidence calibration</w:t>
            </w:r>
          </w:p>
        </w:tc>
        <w:tc>
          <w:tcPr>
            <w:tcW w:type="dxa" w:w="47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Do users accept correct suggestions and challenge incorrect ones?</w:t>
            </w:r>
          </w:p>
        </w:tc>
      </w:tr>
    </w:tbl>
    <w:p>
      <w:pPr>
        <w:spacing w:after="40"/>
      </w:pPr>
    </w:p>
    <w:p>
      <w:pPr>
        <w:pStyle w:val="Heading3"/>
        <w:keepNext/>
      </w:pPr>
      <w:r>
        <w:t>7.5 User Study Design</w:t>
      </w:r>
    </w:p>
    <w:p>
      <w:pPr>
        <w:numPr>
          <w:ilvl w:val="0"/>
          <w:numId w:val="10"/>
        </w:numPr>
      </w:pPr>
      <w:r>
        <w:rPr>
          <w:rFonts w:ascii="Calibri" w:hAnsi="Calibri" w:eastAsia="Calibri"/>
          <w:color w:val="1D252C"/>
          <w:sz w:val="22"/>
        </w:rPr>
        <w:t>Use a within-subject crossover design if the available sample is small.</w:t>
      </w:r>
    </w:p>
    <w:p>
      <w:pPr>
        <w:numPr>
          <w:ilvl w:val="0"/>
          <w:numId w:val="10"/>
        </w:numPr>
      </w:pPr>
      <w:r>
        <w:rPr>
          <w:rFonts w:ascii="Calibri" w:hAnsi="Calibri" w:eastAsia="Calibri"/>
          <w:color w:val="1D252C"/>
          <w:sz w:val="22"/>
        </w:rPr>
        <w:t>Counterbalance tool order to reduce learning effects.</w:t>
      </w:r>
    </w:p>
    <w:p>
      <w:pPr>
        <w:numPr>
          <w:ilvl w:val="0"/>
          <w:numId w:val="10"/>
        </w:numPr>
      </w:pPr>
      <w:r>
        <w:rPr>
          <w:rFonts w:ascii="Calibri" w:hAnsi="Calibri" w:eastAsia="Calibri"/>
          <w:color w:val="1D252C"/>
          <w:sz w:val="22"/>
        </w:rPr>
        <w:t>Use equivalent review tasks and provide the same source-access conditions where possible.</w:t>
      </w:r>
    </w:p>
    <w:p>
      <w:pPr>
        <w:numPr>
          <w:ilvl w:val="0"/>
          <w:numId w:val="10"/>
        </w:numPr>
      </w:pPr>
      <w:r>
        <w:rPr>
          <w:rFonts w:ascii="Calibri" w:hAnsi="Calibri" w:eastAsia="Calibri"/>
          <w:color w:val="1D252C"/>
          <w:sz w:val="22"/>
        </w:rPr>
        <w:t>Capture screen-level timing, corrections, verification behavior, and qualitative comments.</w:t>
      </w:r>
    </w:p>
    <w:p>
      <w:pPr>
        <w:numPr>
          <w:ilvl w:val="0"/>
          <w:numId w:val="10"/>
        </w:numPr>
      </w:pPr>
      <w:r>
        <w:rPr>
          <w:rFonts w:ascii="Calibri" w:hAnsi="Calibri" w:eastAsia="Calibri"/>
          <w:color w:val="1D252C"/>
          <w:sz w:val="22"/>
        </w:rPr>
        <w:t>Conduct post-task interviews focused on control, confusion, confidence, and error recovery.</w:t>
      </w:r>
    </w:p>
    <w:p>
      <w:pPr>
        <w:pStyle w:val="Heading3"/>
        <w:keepNext/>
      </w:pPr>
      <w:r>
        <w:t>7.6 Analysis Plan</w:t>
      </w:r>
    </w:p>
    <w:p>
      <w:pPr>
        <w:numPr>
          <w:ilvl w:val="0"/>
          <w:numId w:val="10"/>
        </w:numPr>
      </w:pPr>
      <w:r>
        <w:rPr>
          <w:rFonts w:ascii="Calibri" w:hAnsi="Calibri" w:eastAsia="Calibri"/>
          <w:color w:val="1D252C"/>
          <w:sz w:val="22"/>
        </w:rPr>
        <w:t>Report descriptive statistics and confidence intervals for technical metrics.</w:t>
      </w:r>
    </w:p>
    <w:p>
      <w:pPr>
        <w:numPr>
          <w:ilvl w:val="0"/>
          <w:numId w:val="10"/>
        </w:numPr>
      </w:pPr>
      <w:r>
        <w:rPr>
          <w:rFonts w:ascii="Calibri" w:hAnsi="Calibri" w:eastAsia="Calibri"/>
          <w:color w:val="1D252C"/>
          <w:sz w:val="22"/>
        </w:rPr>
        <w:t>Use paired analysis for within-subject time, workload, and usability outcomes.</w:t>
      </w:r>
    </w:p>
    <w:p>
      <w:pPr>
        <w:numPr>
          <w:ilvl w:val="0"/>
          <w:numId w:val="10"/>
        </w:numPr>
      </w:pPr>
      <w:r>
        <w:rPr>
          <w:rFonts w:ascii="Calibri" w:hAnsi="Calibri" w:eastAsia="Calibri"/>
          <w:color w:val="1D252C"/>
          <w:sz w:val="22"/>
        </w:rPr>
        <w:t>Analyze qualitative data thematically, with explicit coding procedures.</w:t>
      </w:r>
    </w:p>
    <w:p>
      <w:pPr>
        <w:numPr>
          <w:ilvl w:val="0"/>
          <w:numId w:val="10"/>
        </w:numPr>
      </w:pPr>
      <w:r>
        <w:rPr>
          <w:rFonts w:ascii="Calibri" w:hAnsi="Calibri" w:eastAsia="Calibri"/>
          <w:color w:val="1D252C"/>
          <w:sz w:val="22"/>
        </w:rPr>
        <w:t>Report failures and disagreements rather than averaging them away.</w:t>
      </w:r>
    </w:p>
    <w:p>
      <w:pPr>
        <w:pStyle w:val="Heading2"/>
        <w:keepNext/>
      </w:pPr>
      <w:r>
        <w:t>8. Results</w:t>
      </w:r>
    </w:p>
    <w:p>
      <w:pPr>
        <w:pStyle w:val="Heading3"/>
        <w:keepNext/>
      </w:pPr>
      <w:r>
        <w:t>8.1 System and Task Completion</w:t>
      </w:r>
    </w:p>
    <w:p>
      <w:pPr/>
      <w:r>
        <w:rPr>
          <w:rFonts w:ascii="Calibri" w:hAnsi="Calibri" w:eastAsia="Calibri"/>
          <w:i w:val="0"/>
          <w:color w:val="1D252C"/>
          <w:sz w:val="22"/>
        </w:rPr>
        <w:t>Report successful workflow completion, API failures, recovery, and performance.</w:t>
      </w:r>
    </w:p>
    <w:p>
      <w:pPr>
        <w:pStyle w:val="Heading3"/>
        <w:keepNext/>
      </w:pPr>
      <w:r>
        <w:t>8.2 Retrieval and Screening</w:t>
      </w:r>
    </w:p>
    <w:p>
      <w:pPr/>
      <w:r>
        <w:rPr>
          <w:rFonts w:ascii="Calibri" w:hAnsi="Calibri" w:eastAsia="Calibri"/>
          <w:i w:val="0"/>
          <w:color w:val="1D252C"/>
          <w:sz w:val="22"/>
        </w:rPr>
        <w:t>Present retrieval coverage and screening classification results, including false exclusions and uncertain cases.</w:t>
      </w:r>
    </w:p>
    <w:p>
      <w:pPr>
        <w:pStyle w:val="Heading3"/>
        <w:keepNext/>
      </w:pPr>
      <w:r>
        <w:t>8.3 Matrix Extraction</w:t>
      </w:r>
    </w:p>
    <w:p>
      <w:pPr/>
      <w:r>
        <w:rPr>
          <w:rFonts w:ascii="Calibri" w:hAnsi="Calibri" w:eastAsia="Calibri"/>
          <w:i w:val="0"/>
          <w:color w:val="1D252C"/>
          <w:sz w:val="22"/>
        </w:rPr>
        <w:t>Report cell-level accuracy, source-support accuracy, and patterns of human correction.</w:t>
      </w:r>
    </w:p>
    <w:p>
      <w:pPr>
        <w:pStyle w:val="Heading3"/>
        <w:keepNext/>
      </w:pPr>
      <w:r>
        <w:t>8.4 Downstream Output Quality</w:t>
      </w:r>
    </w:p>
    <w:p>
      <w:pPr/>
      <w:r>
        <w:rPr>
          <w:rFonts w:ascii="Calibri" w:hAnsi="Calibri" w:eastAsia="Calibri"/>
          <w:i w:val="0"/>
          <w:color w:val="1D252C"/>
          <w:sz w:val="22"/>
        </w:rPr>
        <w:t>Report expert assessment of synthesis, gap statements, research topics, and research questions.</w:t>
      </w:r>
    </w:p>
    <w:p>
      <w:pPr>
        <w:pStyle w:val="Heading3"/>
        <w:keepNext/>
      </w:pPr>
      <w:r>
        <w:t>8.5 User Outcomes</w:t>
      </w:r>
    </w:p>
    <w:p>
      <w:pPr/>
      <w:r>
        <w:rPr>
          <w:rFonts w:ascii="Calibri" w:hAnsi="Calibri" w:eastAsia="Calibri"/>
          <w:i w:val="0"/>
          <w:color w:val="1D252C"/>
          <w:sz w:val="22"/>
        </w:rPr>
        <w:t>Report time, workload, usability, trust calibration, and qualitative findings.</w:t>
      </w:r>
    </w:p>
    <w:p>
      <w:pPr>
        <w:pStyle w:val="Heading2"/>
        <w:keepNext/>
      </w:pPr>
      <w:r>
        <w:t>9. Discussion</w:t>
      </w:r>
    </w:p>
    <w:p>
      <w:pPr>
        <w:numPr>
          <w:ilvl w:val="0"/>
          <w:numId w:val="10"/>
        </w:numPr>
      </w:pPr>
      <w:r>
        <w:rPr>
          <w:rFonts w:ascii="Calibri" w:hAnsi="Calibri" w:eastAsia="Calibri"/>
          <w:color w:val="1D252C"/>
          <w:sz w:val="22"/>
        </w:rPr>
        <w:t>Interpret the findings in relation to RQ1–RQ3.</w:t>
      </w:r>
    </w:p>
    <w:p>
      <w:pPr>
        <w:numPr>
          <w:ilvl w:val="0"/>
          <w:numId w:val="10"/>
        </w:numPr>
      </w:pPr>
      <w:r>
        <w:rPr>
          <w:rFonts w:ascii="Calibri" w:hAnsi="Calibri" w:eastAsia="Calibri"/>
          <w:color w:val="1D252C"/>
          <w:sz w:val="22"/>
        </w:rPr>
        <w:t>Explain the distinction between answer-level AI and workflow-level AI.</w:t>
      </w:r>
    </w:p>
    <w:p>
      <w:pPr>
        <w:numPr>
          <w:ilvl w:val="0"/>
          <w:numId w:val="10"/>
        </w:numPr>
      </w:pPr>
      <w:r>
        <w:rPr>
          <w:rFonts w:ascii="Calibri" w:hAnsi="Calibri" w:eastAsia="Calibri"/>
          <w:color w:val="1D252C"/>
          <w:sz w:val="22"/>
        </w:rPr>
        <w:t>Discuss whether explicit intermediate artifacts improved research control or merely added interaction cost.</w:t>
      </w:r>
    </w:p>
    <w:p>
      <w:pPr>
        <w:numPr>
          <w:ilvl w:val="0"/>
          <w:numId w:val="10"/>
        </w:numPr>
      </w:pPr>
      <w:r>
        <w:rPr>
          <w:rFonts w:ascii="Calibri" w:hAnsi="Calibri" w:eastAsia="Calibri"/>
          <w:color w:val="1D252C"/>
          <w:sz w:val="22"/>
        </w:rPr>
        <w:t>Examine the role of uncertainty and verification in supporting appropriate reliance.</w:t>
      </w:r>
    </w:p>
    <w:p>
      <w:pPr>
        <w:numPr>
          <w:ilvl w:val="0"/>
          <w:numId w:val="10"/>
        </w:numPr>
      </w:pPr>
      <w:r>
        <w:rPr>
          <w:rFonts w:ascii="Calibri" w:hAnsi="Calibri" w:eastAsia="Calibri"/>
          <w:color w:val="1D252C"/>
          <w:sz w:val="22"/>
        </w:rPr>
        <w:t>Compare Matrica with Elicit, Gemini Notebook, Perplexity Research, and Consensus without overstating feature-level novelty.</w:t>
      </w:r>
    </w:p>
    <w:p>
      <w:pPr>
        <w:numPr>
          <w:ilvl w:val="0"/>
          <w:numId w:val="10"/>
        </w:numPr>
      </w:pPr>
      <w:r>
        <w:rPr>
          <w:rFonts w:ascii="Calibri" w:hAnsi="Calibri" w:eastAsia="Calibri"/>
          <w:color w:val="1D252C"/>
          <w:sz w:val="22"/>
        </w:rPr>
        <w:t>Identify general design implications for future Research AI systems.</w:t>
      </w:r>
    </w:p>
    <w:p>
      <w:pPr>
        <w:pStyle w:val="Heading2"/>
        <w:keepNext/>
      </w:pPr>
      <w:r>
        <w:t>10. Limitations and Ethical Considerations</w:t>
      </w:r>
    </w:p>
    <w:p>
      <w:pPr>
        <w:numPr>
          <w:ilvl w:val="0"/>
          <w:numId w:val="10"/>
        </w:numPr>
      </w:pPr>
      <w:r>
        <w:rPr>
          <w:rFonts w:ascii="Calibri" w:hAnsi="Calibri" w:eastAsia="Calibri"/>
          <w:color w:val="1D252C"/>
          <w:sz w:val="22"/>
        </w:rPr>
        <w:t>Search coverage is primarily limited to OpenAlex and PubMed and may not represent all disciplines.</w:t>
      </w:r>
    </w:p>
    <w:p>
      <w:pPr>
        <w:numPr>
          <w:ilvl w:val="0"/>
          <w:numId w:val="10"/>
        </w:numPr>
      </w:pPr>
      <w:r>
        <w:rPr>
          <w:rFonts w:ascii="Calibri" w:hAnsi="Calibri" w:eastAsia="Calibri"/>
          <w:color w:val="1D252C"/>
          <w:sz w:val="22"/>
        </w:rPr>
        <w:t>Boolean query semantics differ between PubMed and OpenAlex.</w:t>
      </w:r>
    </w:p>
    <w:p>
      <w:pPr>
        <w:numPr>
          <w:ilvl w:val="0"/>
          <w:numId w:val="10"/>
        </w:numPr>
      </w:pPr>
      <w:r>
        <w:rPr>
          <w:rFonts w:ascii="Calibri" w:hAnsi="Calibri" w:eastAsia="Calibri"/>
          <w:color w:val="1D252C"/>
          <w:sz w:val="22"/>
        </w:rPr>
        <w:t>Model-generated confidence values are not calibrated probabilities.</w:t>
      </w:r>
    </w:p>
    <w:p>
      <w:pPr>
        <w:numPr>
          <w:ilvl w:val="0"/>
          <w:numId w:val="10"/>
        </w:numPr>
      </w:pPr>
      <w:r>
        <w:rPr>
          <w:rFonts w:ascii="Calibri" w:hAnsi="Calibri" w:eastAsia="Calibri"/>
          <w:color w:val="1D252C"/>
          <w:sz w:val="22"/>
        </w:rPr>
        <w:t>Open-access full text is not available for every paper, and extracted PDF text can be incomplete or noisy.</w:t>
      </w:r>
    </w:p>
    <w:p>
      <w:pPr>
        <w:numPr>
          <w:ilvl w:val="0"/>
          <w:numId w:val="10"/>
        </w:numPr>
      </w:pPr>
      <w:r>
        <w:rPr>
          <w:rFonts w:ascii="Calibri" w:hAnsi="Calibri" w:eastAsia="Calibri"/>
          <w:color w:val="1D252C"/>
          <w:sz w:val="22"/>
        </w:rPr>
        <w:t>Matrix evidence explanations may be generated after extraction and should not be treated as equivalent to immutable, source-linked provenance.</w:t>
      </w:r>
    </w:p>
    <w:p>
      <w:pPr>
        <w:numPr>
          <w:ilvl w:val="0"/>
          <w:numId w:val="10"/>
        </w:numPr>
      </w:pPr>
      <w:r>
        <w:rPr>
          <w:rFonts w:ascii="Calibri" w:hAnsi="Calibri" w:eastAsia="Calibri"/>
          <w:color w:val="1D252C"/>
          <w:sz w:val="22"/>
        </w:rPr>
        <w:t>System-comparison cells can rely on model knowledge and require verification against current official or scholarly sources.</w:t>
      </w:r>
    </w:p>
    <w:p>
      <w:pPr>
        <w:numPr>
          <w:ilvl w:val="0"/>
          <w:numId w:val="10"/>
        </w:numPr>
      </w:pPr>
      <w:r>
        <w:rPr>
          <w:rFonts w:ascii="Calibri" w:hAnsi="Calibri" w:eastAsia="Calibri"/>
          <w:color w:val="1D252C"/>
          <w:sz w:val="22"/>
        </w:rPr>
        <w:t>Synthesis, gaps, and final questions inherit errors from upstream search, screening, and extraction.</w:t>
      </w:r>
    </w:p>
    <w:p>
      <w:pPr>
        <w:numPr>
          <w:ilvl w:val="0"/>
          <w:numId w:val="10"/>
        </w:numPr>
      </w:pPr>
      <w:r>
        <w:rPr>
          <w:rFonts w:ascii="Calibri" w:hAnsi="Calibri" w:eastAsia="Calibri"/>
          <w:color w:val="1D252C"/>
          <w:sz w:val="22"/>
        </w:rPr>
        <w:t>The current artifact should be described as PRISMA-informed unless every relevant reporting and conduct requirement is implemented and evaluated.</w:t>
      </w:r>
    </w:p>
    <w:p>
      <w:pPr>
        <w:numPr>
          <w:ilvl w:val="0"/>
          <w:numId w:val="10"/>
        </w:numPr>
      </w:pPr>
      <w:r>
        <w:rPr>
          <w:rFonts w:ascii="Calibri" w:hAnsi="Calibri" w:eastAsia="Calibri"/>
          <w:color w:val="1D252C"/>
          <w:sz w:val="22"/>
        </w:rPr>
        <w:t>Discuss model dependency, cost, privacy, reproducibility, and changes in commercial Research AI products over time.</w:t>
      </w:r>
    </w:p>
    <w:p>
      <w:pPr>
        <w:pStyle w:val="Heading2"/>
        <w:keepNext/>
      </w:pPr>
      <w:r>
        <w:t>11. Conclusion</w:t>
      </w:r>
    </w:p>
    <w:p>
      <w:pPr>
        <w:numPr>
          <w:ilvl w:val="0"/>
          <w:numId w:val="10"/>
        </w:numPr>
      </w:pPr>
      <w:r>
        <w:rPr>
          <w:rFonts w:ascii="Calibri" w:hAnsi="Calibri" w:eastAsia="Calibri"/>
          <w:color w:val="1D252C"/>
          <w:sz w:val="22"/>
        </w:rPr>
        <w:t>Restate the problem: Research AI needs explicit workflow state and evidence continuity, not only fluent outputs.</w:t>
      </w:r>
    </w:p>
    <w:p>
      <w:pPr>
        <w:numPr>
          <w:ilvl w:val="0"/>
          <w:numId w:val="10"/>
        </w:numPr>
      </w:pPr>
      <w:r>
        <w:rPr>
          <w:rFonts w:ascii="Calibri" w:hAnsi="Calibri" w:eastAsia="Calibri"/>
          <w:color w:val="1D252C"/>
          <w:sz w:val="22"/>
        </w:rPr>
        <w:t>Summarize the artifact and its principal design mechanisms.</w:t>
      </w:r>
    </w:p>
    <w:p>
      <w:pPr>
        <w:numPr>
          <w:ilvl w:val="0"/>
          <w:numId w:val="10"/>
        </w:numPr>
      </w:pPr>
      <w:r>
        <w:rPr>
          <w:rFonts w:ascii="Calibri" w:hAnsi="Calibri" w:eastAsia="Calibri"/>
          <w:color w:val="1D252C"/>
          <w:sz w:val="22"/>
        </w:rPr>
        <w:t>State the evaluation findings without exceeding the evidence.</w:t>
      </w:r>
    </w:p>
    <w:p>
      <w:pPr>
        <w:numPr>
          <w:ilvl w:val="0"/>
          <w:numId w:val="10"/>
        </w:numPr>
      </w:pPr>
      <w:r>
        <w:rPr>
          <w:rFonts w:ascii="Calibri" w:hAnsi="Calibri" w:eastAsia="Calibri"/>
          <w:color w:val="1D252C"/>
          <w:sz w:val="22"/>
        </w:rPr>
        <w:t>Conclude with implications for traceable, human-controlled research assistance.</w:t>
      </w:r>
    </w:p>
    <w:p>
      <w:pPr>
        <w:pStyle w:val="Heading1"/>
        <w:keepNext/>
      </w:pPr>
      <w:r>
        <w:t>Recommended Figures and Tables</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150"/>
        <w:gridCol w:w="2900"/>
        <w:gridCol w:w="5310"/>
      </w:tblGrid>
      <w:tr>
        <w:trPr>
          <w:tblHeader w:val="true"/>
        </w:trPr>
        <w:tc>
          <w:tcPr>
            <w:tcW w:type="dxa" w:w="115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Item</w:t>
            </w:r>
          </w:p>
        </w:tc>
        <w:tc>
          <w:tcPr>
            <w:tcW w:type="dxa" w:w="29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Proposed title</w:t>
            </w:r>
          </w:p>
        </w:tc>
        <w:tc>
          <w:tcPr>
            <w:tcW w:type="dxa" w:w="531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Purpose</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Figure 1</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Matrica end-to-end conceptual workflow</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Show the path from research intent to final research question, with human-control and provenance layers.</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Figure 2</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Layered system architecture</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Frontend, shared state, FastAPI orchestration, model services, scholarly sources, and persistence.</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Figure 3</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Research artifact dependency model</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Show how upstream edits produce stale downstream outputs.</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Figure 4</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Matrix cell data model</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Value, evidence type, confidence, extraction method, source reference, and verification.</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Figure 5</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Evaluation procedure</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Tasks, conditions, measures, and analysis.</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Table 1</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Problems, requirements, and design responses</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Connect the literature gap to concrete artifact features.</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Table 2</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Research AI comparison</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Compare public emphasis and workflow orientation without binary feature claims.</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Table 3</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Evaluation metrics</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Define technical, human-performance, and trust measures.</w:t>
            </w:r>
          </w:p>
        </w:tc>
      </w:tr>
      <w:tr>
        <w:tc>
          <w:tcPr>
            <w:tcW w:type="dxa" w:w="115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Table 4</w:t>
            </w:r>
          </w:p>
        </w:tc>
        <w:tc>
          <w:tcPr>
            <w:tcW w:type="dxa" w:w="2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Results summary</w:t>
            </w:r>
          </w:p>
        </w:tc>
        <w:tc>
          <w:tcPr>
            <w:tcW w:type="dxa" w:w="531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Report performance and user-study outcomes with uncertainty intervals.</w:t>
            </w:r>
          </w:p>
        </w:tc>
      </w:tr>
    </w:tbl>
    <w:p>
      <w:pPr>
        <w:spacing w:after="40"/>
      </w:pPr>
    </w:p>
    <w:p>
      <w:pPr>
        <w:pStyle w:val="Heading1"/>
        <w:keepNext/>
      </w:pPr>
      <w:r>
        <w:t>Claim and Terminology Guardrails</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900"/>
        <w:gridCol w:w="3600"/>
        <w:gridCol w:w="4860"/>
      </w:tblGrid>
      <w:tr>
        <w:trPr>
          <w:tblHeader w:val="true"/>
        </w:trPr>
        <w:tc>
          <w:tcPr>
            <w:tcW w:type="dxa" w:w="9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Status</w:t>
            </w:r>
          </w:p>
        </w:tc>
        <w:tc>
          <w:tcPr>
            <w:tcW w:type="dxa" w:w="360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Recommended wording</w:t>
            </w:r>
          </w:p>
        </w:tc>
        <w:tc>
          <w:tcPr>
            <w:tcW w:type="dxa" w:w="4860"/>
            <w:tcMar>
              <w:top w:w="80" w:type="dxa"/>
              <w:start w:w="120" w:type="dxa"/>
              <w:bottom w:w="80" w:type="dxa"/>
              <w:end w:w="120" w:type="dxa"/>
            </w:tcMar>
            <w:vAlign w:val="center"/>
            <w:shd w:fill="E8EEF5" w:val="clear"/>
          </w:tcPr>
          <w:p>
            <w:pPr>
              <w:spacing w:before="0" w:after="40" w:line="264" w:lineRule="auto"/>
            </w:pPr>
            <w:r>
              <w:rPr>
                <w:rFonts w:ascii="Calibri" w:hAnsi="Calibri" w:eastAsia="Calibri"/>
                <w:b/>
                <w:color w:val="0B2545"/>
                <w:sz w:val="17"/>
              </w:rPr>
              <w:t>Reason</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Use</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PRISMA-informed structured literature-review workflow</w:t>
            </w:r>
          </w:p>
        </w:tc>
        <w:tc>
          <w:tcPr>
            <w:tcW w:type="dxa" w:w="48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Unless complete compliance has been demonstrated.</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Use</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Provenance-aware metadata and verification interface</w:t>
            </w:r>
          </w:p>
        </w:tc>
        <w:tc>
          <w:tcPr>
            <w:tcW w:type="dxa" w:w="48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Current source references and evidence explanations require stronger immutable source linkage.</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Use</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Designed to improve traceability</w:t>
            </w:r>
          </w:p>
        </w:tc>
        <w:tc>
          <w:tcPr>
            <w:tcW w:type="dxa" w:w="48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Replace with “improved” only after evaluation.</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Avoid</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The first end-to-end AI systematic-review tool</w:t>
            </w:r>
          </w:p>
        </w:tc>
        <w:tc>
          <w:tcPr>
            <w:tcW w:type="dxa" w:w="48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Elicit and other systems already support end-to-end or multi-stage review workflows.</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Avoid</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Calibrated confidence</w:t>
            </w:r>
          </w:p>
        </w:tc>
        <w:tc>
          <w:tcPr>
            <w:tcW w:type="dxa" w:w="48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Model self-reported scores are not calibrated without empirical testing.</w:t>
            </w:r>
          </w:p>
        </w:tc>
      </w:tr>
      <w:tr>
        <w:tc>
          <w:tcPr>
            <w:tcW w:type="dxa" w:w="9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Avoid</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Fully automated review</w:t>
            </w:r>
          </w:p>
        </w:tc>
        <w:tc>
          <w:tcPr>
            <w:tcW w:type="dxa" w:w="4860"/>
            <w:tcMar>
              <w:top w:w="80" w:type="dxa"/>
              <w:start w:w="120" w:type="dxa"/>
              <w:bottom w:w="80" w:type="dxa"/>
              <w:end w:w="120" w:type="dxa"/>
            </w:tcMar>
            <w:vAlign w:val="center"/>
          </w:tcPr>
          <w:p>
            <w:pPr>
              <w:spacing w:before="0" w:after="40" w:line="264" w:lineRule="auto"/>
            </w:pPr>
            <w:r>
              <w:rPr>
                <w:rFonts w:ascii="Calibri" w:hAnsi="Calibri" w:eastAsia="Calibri"/>
                <w:color w:val="1D252C"/>
                <w:sz w:val="17"/>
              </w:rPr>
              <w:t>The artifact deliberately requires human judgment and verification.</w:t>
            </w:r>
          </w:p>
        </w:tc>
      </w:tr>
    </w:tbl>
    <w:p>
      <w:pPr>
        <w:spacing w:after="40"/>
      </w:pPr>
    </w:p>
    <w:p>
      <w:pPr>
        <w:pStyle w:val="Heading1"/>
        <w:keepNext/>
      </w:pPr>
      <w:r>
        <w:t>Appendix A. Google Scholar Search Queries</w:t>
      </w:r>
    </w:p>
    <w:p>
      <w:pPr/>
      <w:r>
        <w:rPr>
          <w:rFonts w:ascii="Calibri" w:hAnsi="Calibri" w:eastAsia="Calibri"/>
          <w:i w:val="0"/>
          <w:color w:val="1D252C"/>
          <w:sz w:val="22"/>
        </w:rPr>
        <w:t>Run these queries individually. Apply the 2023–2026 date filter for current Research AI and LLM studies; do not date-limit foundational methodology papers.</w:t>
      </w:r>
    </w:p>
    <w:p>
      <w:pPr>
        <w:pStyle w:val="Heading2"/>
        <w:keepNext/>
      </w:pPr>
      <w:r>
        <w:t>A.1 Research AI and Review Automation</w:t>
      </w:r>
    </w:p>
    <w:p>
      <w:pPr>
        <w:numPr>
          <w:ilvl w:val="0"/>
          <w:numId w:val="10"/>
        </w:numPr>
      </w:pPr>
      <w:r>
        <w:rPr>
          <w:rFonts w:ascii="Consolas" w:hAnsi="Consolas" w:eastAsia="Consolas"/>
          <w:color w:val="0B2545"/>
          <w:sz w:val="20"/>
        </w:rPr>
        <w:t>"systematic review automation" "large language models"</w:t>
      </w:r>
    </w:p>
    <w:p>
      <w:pPr>
        <w:numPr>
          <w:ilvl w:val="0"/>
          <w:numId w:val="10"/>
        </w:numPr>
      </w:pPr>
      <w:r>
        <w:rPr>
          <w:rFonts w:ascii="Consolas" w:hAnsi="Consolas" w:eastAsia="Consolas"/>
          <w:color w:val="0B2545"/>
          <w:sz w:val="20"/>
        </w:rPr>
        <w:t>"LLM-assisted systematic review" screening extraction synthesis</w:t>
      </w:r>
    </w:p>
    <w:p>
      <w:pPr>
        <w:numPr>
          <w:ilvl w:val="0"/>
          <w:numId w:val="10"/>
        </w:numPr>
      </w:pPr>
      <w:r>
        <w:rPr>
          <w:rFonts w:ascii="Consolas" w:hAnsi="Consolas" w:eastAsia="Consolas"/>
          <w:color w:val="0B2545"/>
          <w:sz w:val="20"/>
        </w:rPr>
        <w:t>"generative AI" "evidence synthesis" workflow</w:t>
      </w:r>
    </w:p>
    <w:p>
      <w:pPr>
        <w:numPr>
          <w:ilvl w:val="0"/>
          <w:numId w:val="10"/>
        </w:numPr>
      </w:pPr>
      <w:r>
        <w:rPr>
          <w:rFonts w:ascii="Consolas" w:hAnsi="Consolas" w:eastAsia="Consolas"/>
          <w:color w:val="0B2545"/>
          <w:sz w:val="20"/>
        </w:rPr>
        <w:t>"automated literature review" "human in the loop"</w:t>
      </w:r>
    </w:p>
    <w:p>
      <w:pPr>
        <w:numPr>
          <w:ilvl w:val="0"/>
          <w:numId w:val="10"/>
        </w:numPr>
      </w:pPr>
      <w:r>
        <w:rPr>
          <w:rFonts w:ascii="Consolas" w:hAnsi="Consolas" w:eastAsia="Consolas"/>
          <w:color w:val="0B2545"/>
          <w:sz w:val="20"/>
        </w:rPr>
        <w:t>"research gap identification" "large language model"</w:t>
      </w:r>
    </w:p>
    <w:p>
      <w:pPr>
        <w:numPr>
          <w:ilvl w:val="0"/>
          <w:numId w:val="10"/>
        </w:numPr>
      </w:pPr>
      <w:r>
        <w:rPr>
          <w:rFonts w:ascii="Consolas" w:hAnsi="Consolas" w:eastAsia="Consolas"/>
          <w:color w:val="0B2545"/>
          <w:sz w:val="20"/>
        </w:rPr>
        <w:t>"research question formulation" "large language model"</w:t>
      </w:r>
    </w:p>
    <w:p>
      <w:pPr>
        <w:pStyle w:val="Heading2"/>
        <w:keepNext/>
      </w:pPr>
      <w:r>
        <w:t>A.2 Provenance and Human–AI Interaction</w:t>
      </w:r>
    </w:p>
    <w:p>
      <w:pPr>
        <w:numPr>
          <w:ilvl w:val="0"/>
          <w:numId w:val="10"/>
        </w:numPr>
      </w:pPr>
      <w:r>
        <w:rPr>
          <w:rFonts w:ascii="Consolas" w:hAnsi="Consolas" w:eastAsia="Consolas"/>
          <w:color w:val="0B2545"/>
          <w:sz w:val="20"/>
        </w:rPr>
        <w:t>"evidence traceability" AI-assisted literature review</w:t>
      </w:r>
    </w:p>
    <w:p>
      <w:pPr>
        <w:numPr>
          <w:ilvl w:val="0"/>
          <w:numId w:val="10"/>
        </w:numPr>
      </w:pPr>
      <w:r>
        <w:rPr>
          <w:rFonts w:ascii="Consolas" w:hAnsi="Consolas" w:eastAsia="Consolas"/>
          <w:color w:val="0B2545"/>
          <w:sz w:val="20"/>
        </w:rPr>
        <w:t>"workflow provenance" scientific reproducibility</w:t>
      </w:r>
    </w:p>
    <w:p>
      <w:pPr>
        <w:numPr>
          <w:ilvl w:val="0"/>
          <w:numId w:val="10"/>
        </w:numPr>
      </w:pPr>
      <w:r>
        <w:rPr>
          <w:rFonts w:ascii="Consolas" w:hAnsi="Consolas" w:eastAsia="Consolas"/>
          <w:color w:val="0B2545"/>
          <w:sz w:val="20"/>
        </w:rPr>
        <w:t>"data provenance" "trustworthy AI" workflow</w:t>
      </w:r>
    </w:p>
    <w:p>
      <w:pPr>
        <w:numPr>
          <w:ilvl w:val="0"/>
          <w:numId w:val="10"/>
        </w:numPr>
      </w:pPr>
      <w:r>
        <w:rPr>
          <w:rFonts w:ascii="Consolas" w:hAnsi="Consolas" w:eastAsia="Consolas"/>
          <w:color w:val="0B2545"/>
          <w:sz w:val="20"/>
        </w:rPr>
        <w:t>"uncertainty communication" human-AI decision making</w:t>
      </w:r>
    </w:p>
    <w:p>
      <w:pPr>
        <w:numPr>
          <w:ilvl w:val="0"/>
          <w:numId w:val="10"/>
        </w:numPr>
      </w:pPr>
      <w:r>
        <w:rPr>
          <w:rFonts w:ascii="Consolas" w:hAnsi="Consolas" w:eastAsia="Consolas"/>
          <w:color w:val="0B2545"/>
          <w:sz w:val="20"/>
        </w:rPr>
        <w:t>"trust calibration" AI-assisted decision making</w:t>
      </w:r>
    </w:p>
    <w:p>
      <w:pPr>
        <w:numPr>
          <w:ilvl w:val="0"/>
          <w:numId w:val="10"/>
        </w:numPr>
      </w:pPr>
      <w:r>
        <w:rPr>
          <w:rFonts w:ascii="Consolas" w:hAnsi="Consolas" w:eastAsia="Consolas"/>
          <w:color w:val="0B2545"/>
          <w:sz w:val="20"/>
        </w:rPr>
        <w:t>"confidence calibration" LLM data extraction</w:t>
      </w:r>
    </w:p>
    <w:p>
      <w:pPr>
        <w:pStyle w:val="Heading2"/>
        <w:keepNext/>
      </w:pPr>
      <w:r>
        <w:t>A.3 Product and System Comparisons</w:t>
      </w:r>
    </w:p>
    <w:p>
      <w:pPr>
        <w:numPr>
          <w:ilvl w:val="0"/>
          <w:numId w:val="10"/>
        </w:numPr>
      </w:pPr>
      <w:r>
        <w:rPr>
          <w:rFonts w:ascii="Consolas" w:hAnsi="Consolas" w:eastAsia="Consolas"/>
          <w:color w:val="0B2545"/>
          <w:sz w:val="20"/>
        </w:rPr>
        <w:t>("NotebookLM" OR "Gemini Notebook") research assistant evaluation</w:t>
      </w:r>
    </w:p>
    <w:p>
      <w:pPr>
        <w:numPr>
          <w:ilvl w:val="0"/>
          <w:numId w:val="10"/>
        </w:numPr>
      </w:pPr>
      <w:r>
        <w:rPr>
          <w:rFonts w:ascii="Consolas" w:hAnsi="Consolas" w:eastAsia="Consolas"/>
          <w:color w:val="0B2545"/>
          <w:sz w:val="20"/>
        </w:rPr>
        <w:t>"Perplexity AI" academic research citation accuracy</w:t>
      </w:r>
    </w:p>
    <w:p>
      <w:pPr>
        <w:numPr>
          <w:ilvl w:val="0"/>
          <w:numId w:val="10"/>
        </w:numPr>
      </w:pPr>
      <w:r>
        <w:rPr>
          <w:rFonts w:ascii="Consolas" w:hAnsi="Consolas" w:eastAsia="Consolas"/>
          <w:color w:val="0B2545"/>
          <w:sz w:val="20"/>
        </w:rPr>
        <w:t>"Elicit" systematic review screening evaluation</w:t>
      </w:r>
    </w:p>
    <w:p>
      <w:pPr>
        <w:numPr>
          <w:ilvl w:val="0"/>
          <w:numId w:val="10"/>
        </w:numPr>
      </w:pPr>
      <w:r>
        <w:rPr>
          <w:rFonts w:ascii="Consolas" w:hAnsi="Consolas" w:eastAsia="Consolas"/>
          <w:color w:val="0B2545"/>
          <w:sz w:val="20"/>
        </w:rPr>
        <w:t>"Elicit" data extraction accuracy systematic review</w:t>
      </w:r>
    </w:p>
    <w:p>
      <w:pPr>
        <w:numPr>
          <w:ilvl w:val="0"/>
          <w:numId w:val="10"/>
        </w:numPr>
      </w:pPr>
      <w:r>
        <w:rPr>
          <w:rFonts w:ascii="Consolas" w:hAnsi="Consolas" w:eastAsia="Consolas"/>
          <w:color w:val="0B2545"/>
          <w:sz w:val="20"/>
        </w:rPr>
        <w:t>"Consensus" AI academic search engine evaluation</w:t>
      </w:r>
    </w:p>
    <w:p>
      <w:pPr>
        <w:numPr>
          <w:ilvl w:val="0"/>
          <w:numId w:val="10"/>
        </w:numPr>
      </w:pPr>
      <w:r>
        <w:rPr>
          <w:rFonts w:ascii="Consolas" w:hAnsi="Consolas" w:eastAsia="Consolas"/>
          <w:color w:val="0B2545"/>
          <w:sz w:val="20"/>
        </w:rPr>
        <w:t>"AI research assistant" comparison NotebookLM Perplexity Elicit Consensus</w:t>
      </w:r>
    </w:p>
    <w:p>
      <w:pPr>
        <w:pStyle w:val="Heading2"/>
        <w:keepNext/>
      </w:pPr>
      <w:r>
        <w:t>A.4 Methodology and Evaluation</w:t>
      </w:r>
    </w:p>
    <w:p>
      <w:pPr>
        <w:numPr>
          <w:ilvl w:val="0"/>
          <w:numId w:val="10"/>
        </w:numPr>
      </w:pPr>
      <w:r>
        <w:rPr>
          <w:rFonts w:ascii="Consolas" w:hAnsi="Consolas" w:eastAsia="Consolas"/>
          <w:color w:val="0B2545"/>
          <w:sz w:val="20"/>
        </w:rPr>
        <w:t>"design science research methodology" information systems artifact evaluation</w:t>
      </w:r>
    </w:p>
    <w:p>
      <w:pPr>
        <w:numPr>
          <w:ilvl w:val="0"/>
          <w:numId w:val="10"/>
        </w:numPr>
      </w:pPr>
      <w:r>
        <w:rPr>
          <w:rFonts w:ascii="Consolas" w:hAnsi="Consolas" w:eastAsia="Consolas"/>
          <w:color w:val="0B2545"/>
          <w:sz w:val="20"/>
        </w:rPr>
        <w:t>"Guidelines for Human-AI Interaction" Amershi</w:t>
      </w:r>
    </w:p>
    <w:p>
      <w:pPr>
        <w:numPr>
          <w:ilvl w:val="0"/>
          <w:numId w:val="10"/>
        </w:numPr>
      </w:pPr>
      <w:r>
        <w:rPr>
          <w:rFonts w:ascii="Consolas" w:hAnsi="Consolas" w:eastAsia="Consolas"/>
          <w:color w:val="0B2545"/>
          <w:sz w:val="20"/>
        </w:rPr>
        <w:t>"System Usability Scale" AI research assistant</w:t>
      </w:r>
    </w:p>
    <w:p>
      <w:pPr>
        <w:numPr>
          <w:ilvl w:val="0"/>
          <w:numId w:val="10"/>
        </w:numPr>
      </w:pPr>
      <w:r>
        <w:rPr>
          <w:rFonts w:ascii="Consolas" w:hAnsi="Consolas" w:eastAsia="Consolas"/>
          <w:color w:val="0B2545"/>
          <w:sz w:val="20"/>
        </w:rPr>
        <w:t>"NASA-TLX" AI-assisted literature review</w:t>
      </w:r>
    </w:p>
    <w:p>
      <w:pPr>
        <w:numPr>
          <w:ilvl w:val="0"/>
          <w:numId w:val="10"/>
        </w:numPr>
      </w:pPr>
      <w:r>
        <w:rPr>
          <w:rFonts w:ascii="Consolas" w:hAnsi="Consolas" w:eastAsia="Consolas"/>
          <w:color w:val="0B2545"/>
          <w:sz w:val="20"/>
        </w:rPr>
        <w:t>"screening sensitivity" LLM systematic review</w:t>
      </w:r>
    </w:p>
    <w:p>
      <w:pPr>
        <w:numPr>
          <w:ilvl w:val="0"/>
          <w:numId w:val="10"/>
        </w:numPr>
      </w:pPr>
      <w:r>
        <w:rPr>
          <w:rFonts w:ascii="Consolas" w:hAnsi="Consolas" w:eastAsia="Consolas"/>
          <w:color w:val="0B2545"/>
          <w:sz w:val="20"/>
        </w:rPr>
        <w:t>"data extraction accuracy" LLM systematic review</w:t>
      </w:r>
    </w:p>
    <w:p>
      <w:pPr>
        <w:pStyle w:val="Heading1"/>
        <w:keepNext/>
      </w:pPr>
      <w:r>
        <w:t>Appendix B. Suggested Seed Sources</w:t>
      </w:r>
    </w:p>
    <w:p>
      <w:pPr>
        <w:numPr>
          <w:ilvl w:val="0"/>
          <w:numId w:val="10"/>
        </w:numPr>
      </w:pPr>
      <w:hyperlink r:id="rId13">
        <w:r>
          <w:rPr>
            <w:color w:val="2E74B5"/>
            <w:u w:val="single"/>
            <w:rFonts w:ascii="Calibri" w:hAnsi="Calibri"/>
          </w:rPr>
          <w:t>PRISMA 2020 Statement</w:t>
        </w:r>
      </w:hyperlink>
    </w:p>
    <w:p>
      <w:pPr>
        <w:numPr>
          <w:ilvl w:val="0"/>
          <w:numId w:val="10"/>
        </w:numPr>
      </w:pPr>
      <w:hyperlink r:id="rId14">
        <w:r>
          <w:rPr>
            <w:color w:val="2E74B5"/>
            <w:u w:val="single"/>
            <w:rFonts w:ascii="Calibri" w:hAnsi="Calibri"/>
          </w:rPr>
          <w:t>Cochrane Handbook, Chapter 5: Collecting Data</w:t>
        </w:r>
      </w:hyperlink>
    </w:p>
    <w:p>
      <w:pPr>
        <w:numPr>
          <w:ilvl w:val="0"/>
          <w:numId w:val="10"/>
        </w:numPr>
      </w:pPr>
      <w:hyperlink r:id="rId15">
        <w:r>
          <w:rPr>
            <w:color w:val="2E74B5"/>
            <w:u w:val="single"/>
            <w:rFonts w:ascii="Calibri" w:hAnsi="Calibri"/>
          </w:rPr>
          <w:t>Peffers et al.: A Design Science Research Methodology</w:t>
        </w:r>
      </w:hyperlink>
    </w:p>
    <w:p>
      <w:pPr>
        <w:numPr>
          <w:ilvl w:val="0"/>
          <w:numId w:val="10"/>
        </w:numPr>
      </w:pPr>
      <w:hyperlink r:id="rId16">
        <w:r>
          <w:rPr>
            <w:color w:val="2E74B5"/>
            <w:u w:val="single"/>
            <w:rFonts w:ascii="Calibri" w:hAnsi="Calibri"/>
          </w:rPr>
          <w:t>Amershi et al.: Guidelines for Human–AI Interaction</w:t>
        </w:r>
      </w:hyperlink>
    </w:p>
    <w:p>
      <w:pPr>
        <w:numPr>
          <w:ilvl w:val="0"/>
          <w:numId w:val="10"/>
        </w:numPr>
      </w:pPr>
      <w:hyperlink r:id="rId17">
        <w:r>
          <w:rPr>
            <w:color w:val="2E74B5"/>
            <w:u w:val="single"/>
            <w:rFonts w:ascii="Calibri" w:hAnsi="Calibri"/>
          </w:rPr>
          <w:t>Provenance Documentation for Explainable and Trustworthy AI</w:t>
        </w:r>
      </w:hyperlink>
    </w:p>
    <w:p>
      <w:pPr>
        <w:numPr>
          <w:ilvl w:val="0"/>
          <w:numId w:val="10"/>
        </w:numPr>
      </w:pPr>
      <w:hyperlink r:id="rId18">
        <w:r>
          <w:rPr>
            <w:color w:val="2E74B5"/>
            <w:u w:val="single"/>
            <w:rFonts w:ascii="Calibri" w:hAnsi="Calibri"/>
          </w:rPr>
          <w:t>Gemini Notebook Overview</w:t>
        </w:r>
      </w:hyperlink>
    </w:p>
    <w:p>
      <w:pPr>
        <w:numPr>
          <w:ilvl w:val="0"/>
          <w:numId w:val="10"/>
        </w:numPr>
      </w:pPr>
      <w:hyperlink r:id="rId19">
        <w:r>
          <w:rPr>
            <w:color w:val="2E74B5"/>
            <w:u w:val="single"/>
            <w:rFonts w:ascii="Calibri" w:hAnsi="Calibri"/>
          </w:rPr>
          <w:t>Perplexity Research Mode</w:t>
        </w:r>
      </w:hyperlink>
    </w:p>
    <w:p>
      <w:pPr>
        <w:numPr>
          <w:ilvl w:val="0"/>
          <w:numId w:val="10"/>
        </w:numPr>
      </w:pPr>
      <w:hyperlink r:id="rId20">
        <w:r>
          <w:rPr>
            <w:color w:val="2E74B5"/>
            <w:u w:val="single"/>
            <w:rFonts w:ascii="Calibri" w:hAnsi="Calibri"/>
          </w:rPr>
          <w:t>Elicit Systematic Review Evaluation</w:t>
        </w:r>
      </w:hyperlink>
    </w:p>
    <w:p>
      <w:pPr>
        <w:numPr>
          <w:ilvl w:val="0"/>
          <w:numId w:val="10"/>
        </w:numPr>
      </w:pPr>
      <w:hyperlink r:id="rId21">
        <w:r>
          <w:rPr>
            <w:color w:val="2E74B5"/>
            <w:u w:val="single"/>
            <w:rFonts w:ascii="Calibri" w:hAnsi="Calibri"/>
          </w:rPr>
          <w:t>Consensus Research Agent</w:t>
        </w:r>
      </w:hyperlink>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F6B7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b/>
        <w:color w:val="5F6B76"/>
        <w:sz w:val="17"/>
      </w:rPr>
      <w:t>MATRICA  /  RESEARCH PAPER OUTLINE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D25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bmj.com/content/372/bmj.n71.long" TargetMode="External"/><Relationship Id="rId14" Type="http://schemas.openxmlformats.org/officeDocument/2006/relationships/hyperlink" Target="https://www.cochrane.org/node/97" TargetMode="External"/><Relationship Id="rId15" Type="http://schemas.openxmlformats.org/officeDocument/2006/relationships/hyperlink" Target="https://www.jmis-web.org/articles/765" TargetMode="External"/><Relationship Id="rId16" Type="http://schemas.openxmlformats.org/officeDocument/2006/relationships/hyperlink" Target="https://doi.org/10.1145/3290605.3300233" TargetMode="External"/><Relationship Id="rId17" Type="http://schemas.openxmlformats.org/officeDocument/2006/relationships/hyperlink" Target="https://direct.mit.edu/dint/article/5/1/139/109494/Provenance-documentation-to-enable-explainable-and" TargetMode="External"/><Relationship Id="rId18" Type="http://schemas.openxmlformats.org/officeDocument/2006/relationships/hyperlink" Target="https://support.google.com/gemininotebook/answer/16164461?hl=en" TargetMode="External"/><Relationship Id="rId19" Type="http://schemas.openxmlformats.org/officeDocument/2006/relationships/hyperlink" Target="https://www.perplexity.ai/help-center/en/articles/10738684-what-is-research-mode" TargetMode="External"/><Relationship Id="rId20" Type="http://schemas.openxmlformats.org/officeDocument/2006/relationships/hyperlink" Target="https://elicit.com/blog/evaluating-elicit-slr" TargetMode="External"/><Relationship Id="rId21" Type="http://schemas.openxmlformats.org/officeDocument/2006/relationships/hyperlink" Target="https://consensus.app/home/features/research-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Research Paper Outline</dc:title>
  <dc:subject>English manuscript outline for a Design Science research system paper</dc:subject>
  <dc:creator>Matrica Project</dc:creator>
  <cp:keywords>Matrica, Research AI, literature review, Design Science, human-AI workflow</cp:keywords>
  <dc:description>Scope excludes Peer Review and custom Analyst functionality.</dc:description>
  <cp:lastModifiedBy/>
  <cp:revision>1</cp:revision>
  <dcterms:created xsi:type="dcterms:W3CDTF">2013-12-23T23:15:00Z</dcterms:created>
  <dcterms:modified xsi:type="dcterms:W3CDTF">2013-12-23T23:15:00Z</dcterms:modified>
  <cp:category/>
</cp:coreProperties>
</file>