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示例产品审阅</w:t>
      </w:r>
    </w:p>
    <w:p>
      <w:r>
        <w:t>这是一段普通正文，用来检查段落是否原样保留。</w:t>
      </w:r>
    </w:p>
    <w:p>
      <w:pPr>
        <w:pStyle w:val="Heading2"/>
      </w:pPr>
      <w:r>
        <w:t>先看这三点</w:t>
      </w:r>
    </w:p>
    <w:p>
      <w:pPr>
        <w:pStyle w:val="ListBullet"/>
      </w:pPr>
      <w:r>
        <w:t>首屏只留一个主按钮</w:t>
      </w:r>
    </w:p>
    <w:p>
      <w:pPr>
        <w:pStyle w:val="ListBullet"/>
      </w:pPr>
      <w:r>
        <w:t>支付默认上次方式</w:t>
      </w:r>
    </w:p>
    <w:p>
      <w:pPr>
        <w:pStyle w:val="ListBullet"/>
      </w:pPr>
      <w:r>
        <w:t>客服并入我的页面</w:t>
      </w:r>
    </w:p>
    <w:p>
      <w:r>
        <w:rPr>
          <w:b/>
        </w:rPr>
        <w:t>加粗的一句话</w:t>
      </w:r>
      <w:r>
        <w:t>，后面接一句普通文字。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代价</w:t>
            </w:r>
          </w:p>
        </w:tc>
      </w:tr>
      <w:tr>
        <w:tc>
          <w:tcPr>
            <w:tcW w:type="dxa" w:w="2880"/>
          </w:tcPr>
          <w:p>
            <w:r>
              <w:t>首屏</w:t>
            </w:r>
          </w:p>
        </w:tc>
        <w:tc>
          <w:tcPr>
            <w:tcW w:type="dxa" w:w="2880"/>
          </w:tcPr>
          <w:p>
            <w:r>
              <w:t>只留一个主按钮</w:t>
            </w:r>
          </w:p>
        </w:tc>
        <w:tc>
          <w:tcPr>
            <w:tcW w:type="dxa" w:w="2880"/>
          </w:tcPr>
          <w:p>
            <w:r>
              <w:t>老用户多点一次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默认上次方式</w:t>
            </w:r>
          </w:p>
        </w:tc>
        <w:tc>
          <w:tcPr>
            <w:tcW w:type="dxa" w:w="2880"/>
          </w:tcPr>
          <w:p>
            <w:r>
              <w:t>新方式入口更深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