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Section 15 — Branding &amp; Design System</w:t>
      </w:r>
    </w:p>
    <w:p>
      <w:pPr>
        <w:pStyle w:val="BodyText"/>
      </w:pPr>
      <w:r>
        <w:t xml:space="preserve">Version 15v.a3 — Consolidated</w:t>
      </w:r>
    </w:p>
    <w:p>
      <w:pPr>
        <w:pStyle w:val="BodyText"/>
      </w:pPr>
      <w:r>
        <w:t xml:space="preserve">This document defines the canonical Branding &amp; Design System at implementation depth. It is fully harmonised with Section 1 (Scoring Engine 1v.g2), Section 4 (Drill Entry System 4v.g8), Section 5 (Review 5v.d6), Section 7 (Reflow Governance System 7v.b9), Section 10 (Settings &amp; Configuration 10v.a5), Section 11 (Metrics Integrity &amp; Safeguards 11v.a5), Section 12 (UI/UX Structural Architecture 12v.a5), Section 13 (Live Practice Workflow 13v.a6), Section 14 (Drill Entry Screens &amp; System Drill Library 14v.a4), and the Canonical Definitions (0v.f1). All identifiers remain product-name agnostic.</w:t>
      </w:r>
    </w:p>
    <w:p>
      <w:pPr>
        <w:pStyle w:val="BodyText"/>
      </w:pPr>
      <w:r>
        <w:t xml:space="preserve">15.1 Strategic Positioning</w:t>
      </w:r>
    </w:p>
    <w:p>
      <w:pPr>
        <w:pStyle w:val="BodyText"/>
      </w:pPr>
      <w:r>
        <w:t xml:space="preserve">Audience</w:t>
      </w:r>
    </w:p>
    <w:p>
      <w:pPr>
        <w:pStyle w:val="BodyText"/>
      </w:pPr>
      <w:r>
        <w:t xml:space="preserve">Serious amateur performance improvers. Users who care about improving, track data deliberately, are not tour professionals, and do not want cartoon celebration effects.</w:t>
      </w:r>
    </w:p>
    <w:p>
      <w:pPr>
        <w:pStyle w:val="BodyText"/>
      </w:pPr>
      <w:r>
        <w:t xml:space="preserve">Tonal Direction</w:t>
      </w:r>
    </w:p>
    <w:p>
      <w:pPr>
        <w:pStyle w:val="BodyText"/>
      </w:pPr>
      <w:r>
        <w:t xml:space="preserve">Performance-focused and sharp. Crisp, structured, analytical. The product feels like training software, not a lifestyle app or consumer golf companion.</w:t>
      </w:r>
    </w:p>
    <w:p>
      <w:pPr>
        <w:pStyle w:val="BodyText"/>
      </w:pPr>
      <w:r>
        <w:t xml:space="preserve">Design Intent</w:t>
      </w:r>
    </w:p>
    <w:p>
      <w:pPr>
        <w:pStyle w:val="BodyText"/>
      </w:pPr>
      <w:r>
        <w:t xml:space="preserve">Reinforce the determinism of the scoring engine and structural clarity of the data model. Every visual decision should communicate precision, control, and transparency.</w:t>
      </w:r>
    </w:p>
    <w:p>
      <w:pPr>
        <w:pStyle w:val="BodyText"/>
      </w:pPr>
      <w:r>
        <w:t xml:space="preserve">Positioning Characteristics</w:t>
      </w:r>
    </w:p>
    <w:tbl>
      <w:tblPr>
        <w:tblStyle w:val="Table"/>
        <w:tblW w:type="pct" w:w="4865"/>
        <w:tblLook w:firstRow="1" w:lastRow="0" w:firstColumn="0" w:lastColumn="0" w:noHBand="0" w:noVBand="0" w:val="0020"/>
        <w:jc w:val="start"/>
      </w:tblPr>
      <w:tblGrid>
        <w:gridCol w:w="4923"/>
        <w:gridCol w:w="2782"/>
      </w:tblGrid>
      <w:tr>
        <w:trPr>
          <w:tblHeader w:val="true"/>
        </w:trPr>
        <w:tc>
          <w:tcPr/>
          <w:p>
            <w:pPr>
              <w:pStyle w:val="Compact"/>
              <w:jc w:val="left"/>
            </w:pPr>
            <w:r>
              <w:t xml:space="preserve">Characteristic</w:t>
            </w:r>
          </w:p>
        </w:tc>
        <w:tc>
          <w:tcPr/>
          <w:p>
            <w:pPr>
              <w:pStyle w:val="Compact"/>
              <w:jc w:val="left"/>
            </w:pPr>
            <w:r>
              <w:t xml:space="preserve">Status</w:t>
            </w:r>
          </w:p>
        </w:tc>
      </w:tr>
      <w:tr>
        <w:tc>
          <w:tcPr/>
          <w:p>
            <w:pPr>
              <w:pStyle w:val="Compact"/>
              <w:jc w:val="left"/>
            </w:pPr>
            <w:r>
              <w:t xml:space="preserve">Aspirational but not intimidating</w:t>
            </w:r>
          </w:p>
        </w:tc>
        <w:tc>
          <w:tcPr/>
          <w:p>
            <w:pPr>
              <w:pStyle w:val="Compact"/>
              <w:jc w:val="left"/>
            </w:pPr>
            <w:r>
              <w:t xml:space="preserve">Yes</w:t>
            </w:r>
          </w:p>
        </w:tc>
      </w:tr>
      <w:tr>
        <w:tc>
          <w:tcPr/>
          <w:p>
            <w:pPr>
              <w:pStyle w:val="Compact"/>
              <w:jc w:val="left"/>
            </w:pPr>
            <w:r>
              <w:t xml:space="preserve">Performance-focused but not clinical</w:t>
            </w:r>
          </w:p>
        </w:tc>
        <w:tc>
          <w:tcPr/>
          <w:p>
            <w:pPr>
              <w:pStyle w:val="Compact"/>
              <w:jc w:val="left"/>
            </w:pPr>
            <w:r>
              <w:t xml:space="preserve">Yes</w:t>
            </w:r>
          </w:p>
        </w:tc>
      </w:tr>
      <w:tr>
        <w:tc>
          <w:tcPr/>
          <w:p>
            <w:pPr>
              <w:pStyle w:val="Compact"/>
              <w:jc w:val="left"/>
            </w:pPr>
            <w:r>
              <w:t xml:space="preserve">Motivating without being gamified</w:t>
            </w:r>
          </w:p>
        </w:tc>
        <w:tc>
          <w:tcPr/>
          <w:p>
            <w:pPr>
              <w:pStyle w:val="Compact"/>
              <w:jc w:val="left"/>
            </w:pPr>
            <w:r>
              <w:t xml:space="preserve">Yes</w:t>
            </w:r>
          </w:p>
        </w:tc>
      </w:tr>
      <w:tr>
        <w:tc>
          <w:tcPr/>
          <w:p>
            <w:pPr>
              <w:pStyle w:val="Compact"/>
              <w:jc w:val="left"/>
            </w:pPr>
            <w:r>
              <w:t xml:space="preserve">Clean, structured, credible</w:t>
            </w:r>
          </w:p>
        </w:tc>
        <w:tc>
          <w:tcPr/>
          <w:p>
            <w:pPr>
              <w:pStyle w:val="Compact"/>
              <w:jc w:val="left"/>
            </w:pPr>
            <w:r>
              <w:t xml:space="preserve">Yes</w:t>
            </w:r>
          </w:p>
        </w:tc>
      </w:tr>
      <w:tr>
        <w:tc>
          <w:tcPr/>
          <w:p>
            <w:pPr>
              <w:pStyle w:val="Compact"/>
              <w:jc w:val="left"/>
            </w:pPr>
            <w:r>
              <w:t xml:space="preserve">Slight warmth allowed but not playful</w:t>
            </w:r>
          </w:p>
        </w:tc>
        <w:tc>
          <w:tcPr/>
          <w:p>
            <w:pPr>
              <w:pStyle w:val="Compact"/>
              <w:jc w:val="left"/>
            </w:pPr>
            <w:r>
              <w:t xml:space="preserve">Yes</w:t>
            </w:r>
          </w:p>
        </w:tc>
      </w:tr>
    </w:tbl>
    <w:p>
      <w:pPr>
        <w:pStyle w:val="BodyText"/>
      </w:pPr>
      <w:r>
        <w:t xml:space="preserve">Explicit Exclusions</w:t>
      </w:r>
    </w:p>
    <w:p>
      <w:pPr>
        <w:pStyle w:val="BodyText"/>
      </w:pPr>
      <w:r>
        <w:t xml:space="preserve">Gamification, celebratory theatrics, lifestyle branding, consumer-friendly golf companion positioning, cartoon celebration effects, sports-brand energy. The system must never feel like an elite analytics lab either — it is approachable but serious.</w:t>
      </w:r>
    </w:p>
    <w:p>
      <w:pPr>
        <w:pStyle w:val="BodyText"/>
      </w:pPr>
      <w:r>
        <w:t xml:space="preserve">15.2 Tone &amp; Voice Guidelines</w:t>
      </w:r>
    </w:p>
    <w:p>
      <w:pPr>
        <w:pStyle w:val="BodyText"/>
      </w:pPr>
      <w:r>
        <w:t xml:space="preserve">Copy Tone</w:t>
      </w:r>
    </w:p>
    <w:p>
      <w:pPr>
        <w:pStyle w:val="BodyText"/>
      </w:pPr>
      <w:r>
        <w:t xml:space="preserve">All user-facing text is concise, direct, and informational. No exclamation marks in system messages. No motivational language in scoring or engine-state displays. Achievement text is factual, not celebratory.</w:t>
      </w:r>
    </w:p>
    <w:p>
      <w:pPr>
        <w:pStyle w:val="BodyText"/>
      </w:pPr>
      <w:r>
        <w:t xml:space="preserve">Instructional Text</w:t>
      </w:r>
    </w:p>
    <w:p>
      <w:pPr>
        <w:pStyle w:val="BodyText"/>
      </w:pPr>
      <w:r>
        <w:t xml:space="preserve">Prompts and instructions use clear imperative language. No hedging. No conversational tone in system-critical UI.</w:t>
      </w:r>
    </w:p>
    <w:p>
      <w:pPr>
        <w:pStyle w:val="BodyText"/>
      </w:pPr>
      <w:r>
        <w:t xml:space="preserve">Error &amp; Warning Messages</w:t>
      </w:r>
    </w:p>
    <w:p>
      <w:pPr>
        <w:pStyle w:val="BodyText"/>
      </w:pPr>
      <w:r>
        <w:t xml:space="preserve">Errors are factual and actionable. Integrity warnings (Section 11) use observational language only. No blame, no alarm, no emotional framing. Example:</w:t>
      </w:r>
      <w:r>
        <w:t xml:space="preserve"> </w:t>
      </w:r>
      <w:r>
        <w:t xml:space="preserve">“</w:t>
      </w:r>
      <w:r>
        <w:t xml:space="preserve">Value outside expected range</w:t>
      </w:r>
      <w:r>
        <w:t xml:space="preserve">”</w:t>
      </w:r>
      <w:r>
        <w:t xml:space="preserve"> </w:t>
      </w:r>
      <w:r>
        <w:t xml:space="preserve">not</w:t>
      </w:r>
      <w:r>
        <w:t xml:space="preserve"> </w:t>
      </w:r>
      <w:r>
        <w:t xml:space="preserve">“</w:t>
      </w:r>
      <w:r>
        <w:t xml:space="preserve">Warning! Suspicious entry detected!</w:t>
      </w:r>
      <w:r>
        <w:t xml:space="preserve">”</w:t>
      </w:r>
    </w:p>
    <w:p>
      <w:pPr>
        <w:pStyle w:val="BodyText"/>
      </w:pPr>
      <w:r>
        <w:t xml:space="preserve">Score Communication</w:t>
      </w:r>
    </w:p>
    <w:p>
      <w:pPr>
        <w:pStyle w:val="BodyText"/>
      </w:pPr>
      <w:r>
        <w:t xml:space="preserve">Scores are presented neutrally. No emotional framing of drops. No</w:t>
      </w:r>
      <w:r>
        <w:t xml:space="preserve"> </w:t>
      </w:r>
      <w:r>
        <w:t xml:space="preserve">“</w:t>
      </w:r>
      <w:r>
        <w:t xml:space="preserve">well done</w:t>
      </w:r>
      <w:r>
        <w:t xml:space="preserve">”</w:t>
      </w:r>
      <w:r>
        <w:t xml:space="preserve"> </w:t>
      </w:r>
      <w:r>
        <w:t xml:space="preserve">on increases. The system reports; the user interprets.</w:t>
      </w:r>
    </w:p>
    <w:p>
      <w:pPr>
        <w:pStyle w:val="BodyText"/>
      </w:pPr>
      <w:r>
        <w:t xml:space="preserve">15.3 Colour Architecture</w:t>
      </w:r>
    </w:p>
    <w:p>
      <w:pPr>
        <w:pStyle w:val="BodyText"/>
      </w:pPr>
      <w:r>
        <w:t xml:space="preserve">The colour system is divided into three architecturally separate layers: Interaction, Semantic, and Heatmap. Interaction tokens must never be used for scoring outcomes. Semantic tokens must never be used for interaction emphasis.</w:t>
      </w:r>
    </w:p>
    <w:p>
      <w:pPr>
        <w:pStyle w:val="BodyText"/>
      </w:pPr>
      <w:r>
        <w:t xml:space="preserve">15.3.1 Interaction Tokens</w:t>
      </w:r>
    </w:p>
    <w:p>
      <w:pPr>
        <w:pStyle w:val="BodyText"/>
      </w:pPr>
      <w:r>
        <w:t xml:space="preserve">Used for: CTA buttons, selected filters, toggle states, graph active lines, calendar selection highlights, segmented control active state, club selector active state. Never used for scoring outcomes.</w:t>
      </w:r>
    </w:p>
    <w:tbl>
      <w:tblPr>
        <w:tblStyle w:val="Table"/>
        <w:tblW w:type="pct" w:w="4885"/>
        <w:tblLook w:firstRow="1" w:lastRow="0" w:firstColumn="0" w:lastColumn="0" w:noHBand="0" w:noVBand="0" w:val="0020"/>
        <w:jc w:val="start"/>
      </w:tblPr>
      <w:tblGrid>
        <w:gridCol w:w="2275"/>
        <w:gridCol w:w="1456"/>
        <w:gridCol w:w="4005"/>
      </w:tblGrid>
      <w:tr>
        <w:trPr>
          <w:tblHeader w:val="true"/>
        </w:trPr>
        <w:tc>
          <w:tcPr/>
          <w:p>
            <w:pPr>
              <w:pStyle w:val="Compact"/>
              <w:jc w:val="left"/>
            </w:pPr>
            <w:r>
              <w:t xml:space="preserve">Token</w:t>
            </w:r>
          </w:p>
        </w:tc>
        <w:tc>
          <w:tcPr/>
          <w:p>
            <w:pPr>
              <w:pStyle w:val="Compact"/>
              <w:jc w:val="left"/>
            </w:pPr>
            <w:r>
              <w:t xml:space="preserve">Value</w:t>
            </w:r>
          </w:p>
        </w:tc>
        <w:tc>
          <w:tcPr/>
          <w:p>
            <w:pPr>
              <w:pStyle w:val="Compact"/>
              <w:jc w:val="left"/>
            </w:pPr>
            <w:r>
              <w:t xml:space="preserve">Notes / Usage</w:t>
            </w:r>
          </w:p>
        </w:tc>
      </w:tr>
      <w:tr>
        <w:tc>
          <w:tcPr/>
          <w:p>
            <w:pPr>
              <w:pStyle w:val="Compact"/>
              <w:jc w:val="left"/>
            </w:pPr>
            <w:r>
              <w:t xml:space="preserve">color.primary.default</w:t>
            </w:r>
          </w:p>
        </w:tc>
        <w:tc>
          <w:tcPr/>
          <w:p>
            <w:pPr>
              <w:pStyle w:val="Compact"/>
              <w:jc w:val="left"/>
            </w:pPr>
            <w:r>
              <w:t xml:space="preserve">#00B3C6</w:t>
            </w:r>
          </w:p>
        </w:tc>
        <w:tc>
          <w:tcPr/>
          <w:p>
            <w:pPr>
              <w:pStyle w:val="Compact"/>
              <w:jc w:val="left"/>
            </w:pPr>
            <w:r>
              <w:t xml:space="preserve">Primary accent — all interactive elements</w:t>
            </w:r>
          </w:p>
        </w:tc>
      </w:tr>
      <w:tr>
        <w:tc>
          <w:tcPr/>
          <w:p>
            <w:pPr>
              <w:pStyle w:val="Compact"/>
              <w:jc w:val="left"/>
            </w:pPr>
            <w:r>
              <w:t xml:space="preserve">color.primary.hover</w:t>
            </w:r>
          </w:p>
        </w:tc>
        <w:tc>
          <w:tcPr/>
          <w:p>
            <w:pPr>
              <w:pStyle w:val="Compact"/>
              <w:jc w:val="left"/>
            </w:pPr>
            <w:r>
              <w:t xml:space="preserve">#00C8DD</w:t>
            </w:r>
          </w:p>
        </w:tc>
        <w:tc>
          <w:tcPr/>
          <w:p>
            <w:pPr>
              <w:pStyle w:val="Compact"/>
              <w:jc w:val="left"/>
            </w:pPr>
            <w:r>
              <w:t xml:space="preserve">Hover / lighter state</w:t>
            </w:r>
          </w:p>
        </w:tc>
      </w:tr>
      <w:tr>
        <w:tc>
          <w:tcPr/>
          <w:p>
            <w:pPr>
              <w:pStyle w:val="Compact"/>
              <w:jc w:val="left"/>
            </w:pPr>
            <w:r>
              <w:t xml:space="preserve">color.primary.active</w:t>
            </w:r>
          </w:p>
        </w:tc>
        <w:tc>
          <w:tcPr/>
          <w:p>
            <w:pPr>
              <w:pStyle w:val="Compact"/>
              <w:jc w:val="left"/>
            </w:pPr>
            <w:r>
              <w:t xml:space="preserve">#007C7F</w:t>
            </w:r>
          </w:p>
        </w:tc>
        <w:tc>
          <w:tcPr/>
          <w:p>
            <w:pPr>
              <w:pStyle w:val="Compact"/>
              <w:jc w:val="left"/>
            </w:pPr>
            <w:r>
              <w:t xml:space="preserve">Active / pressed state (teal-weighted)</w:t>
            </w:r>
          </w:p>
        </w:tc>
      </w:tr>
      <w:tr>
        <w:tc>
          <w:tcPr/>
          <w:p>
            <w:pPr>
              <w:pStyle w:val="Compact"/>
              <w:jc w:val="left"/>
            </w:pPr>
            <w:r>
              <w:t xml:space="preserve">color.primary.focus</w:t>
            </w:r>
          </w:p>
        </w:tc>
        <w:tc>
          <w:tcPr/>
          <w:p>
            <w:pPr>
              <w:pStyle w:val="Compact"/>
              <w:jc w:val="left"/>
            </w:pPr>
            <w:r>
              <w:t xml:space="preserve">#00B3C6 @ 60%</w:t>
            </w:r>
          </w:p>
        </w:tc>
        <w:tc>
          <w:tcPr/>
          <w:p>
            <w:pPr>
              <w:pStyle w:val="Compact"/>
              <w:jc w:val="left"/>
            </w:pPr>
            <w:r>
              <w:t xml:space="preserve">Focus ring: 2px outline at 60% opacity</w:t>
            </w:r>
          </w:p>
        </w:tc>
      </w:tr>
    </w:tbl>
    <w:p>
      <w:pPr>
        <w:pStyle w:val="BodyText"/>
      </w:pPr>
      <w:r>
        <w:t xml:space="preserve">15.3.2 Semantic Performance Tokens</w:t>
      </w:r>
    </w:p>
    <w:p>
      <w:pPr>
        <w:pStyle w:val="BodyText"/>
      </w:pPr>
      <w:r>
        <w:t xml:space="preserve">Performance outcome colours are structurally separate from interaction colours. They encode scoring results, integrity states, and destructive actions.</w:t>
      </w:r>
    </w:p>
    <w:p>
      <w:pPr>
        <w:pStyle w:val="BodyText"/>
      </w:pPr>
      <w:r>
        <w:t xml:space="preserve">Hit / Success (Grid centre, Binary Hit)</w:t>
      </w:r>
    </w:p>
    <w:tbl>
      <w:tblPr>
        <w:tblStyle w:val="Table"/>
        <w:tblW w:type="pct" w:w="4877"/>
        <w:tblLook w:firstRow="1" w:lastRow="0" w:firstColumn="0" w:lastColumn="0" w:noHBand="0" w:noVBand="0" w:val="0020"/>
        <w:jc w:val="start"/>
      </w:tblPr>
      <w:tblGrid>
        <w:gridCol w:w="2444"/>
        <w:gridCol w:w="1564"/>
        <w:gridCol w:w="3715"/>
      </w:tblGrid>
      <w:tr>
        <w:trPr>
          <w:tblHeader w:val="true"/>
        </w:trPr>
        <w:tc>
          <w:tcPr/>
          <w:p>
            <w:pPr>
              <w:pStyle w:val="Compact"/>
              <w:jc w:val="left"/>
            </w:pPr>
            <w:r>
              <w:t xml:space="preserve">Token</w:t>
            </w:r>
          </w:p>
        </w:tc>
        <w:tc>
          <w:tcPr/>
          <w:p>
            <w:pPr>
              <w:pStyle w:val="Compact"/>
              <w:jc w:val="left"/>
            </w:pPr>
            <w:r>
              <w:t xml:space="preserve">Value</w:t>
            </w:r>
          </w:p>
        </w:tc>
        <w:tc>
          <w:tcPr/>
          <w:p>
            <w:pPr>
              <w:pStyle w:val="Compact"/>
              <w:jc w:val="left"/>
            </w:pPr>
            <w:r>
              <w:t xml:space="preserve">Notes / Usage</w:t>
            </w:r>
          </w:p>
        </w:tc>
      </w:tr>
      <w:tr>
        <w:tc>
          <w:tcPr/>
          <w:p>
            <w:pPr>
              <w:pStyle w:val="Compact"/>
              <w:jc w:val="left"/>
            </w:pPr>
            <w:r>
              <w:t xml:space="preserve">color.success.default</w:t>
            </w:r>
          </w:p>
        </w:tc>
        <w:tc>
          <w:tcPr/>
          <w:p>
            <w:pPr>
              <w:pStyle w:val="Compact"/>
              <w:jc w:val="left"/>
            </w:pPr>
            <w:r>
              <w:t xml:space="preserve">#1FA463</w:t>
            </w:r>
          </w:p>
        </w:tc>
        <w:tc>
          <w:tcPr/>
          <w:p>
            <w:pPr>
              <w:pStyle w:val="Compact"/>
              <w:jc w:val="left"/>
            </w:pPr>
            <w:r>
              <w:t xml:space="preserve">Hit state — grid centre, hit button</w:t>
            </w:r>
          </w:p>
        </w:tc>
      </w:tr>
      <w:tr>
        <w:tc>
          <w:tcPr/>
          <w:p>
            <w:pPr>
              <w:pStyle w:val="Compact"/>
              <w:jc w:val="left"/>
            </w:pPr>
            <w:r>
              <w:t xml:space="preserve">color.success.hover</w:t>
            </w:r>
          </w:p>
        </w:tc>
        <w:tc>
          <w:tcPr/>
          <w:p>
            <w:pPr>
              <w:pStyle w:val="Compact"/>
              <w:jc w:val="left"/>
            </w:pPr>
            <w:r>
              <w:t xml:space="preserve">#23B26C</w:t>
            </w:r>
          </w:p>
        </w:tc>
        <w:tc>
          <w:tcPr/>
          <w:p>
            <w:pPr>
              <w:pStyle w:val="Compact"/>
              <w:jc w:val="left"/>
            </w:pPr>
            <w:r>
              <w:t xml:space="preserve">Hover state on hit elements</w:t>
            </w:r>
          </w:p>
        </w:tc>
      </w:tr>
      <w:tr>
        <w:tc>
          <w:tcPr/>
          <w:p>
            <w:pPr>
              <w:pStyle w:val="Compact"/>
              <w:jc w:val="left"/>
            </w:pPr>
            <w:r>
              <w:t xml:space="preserve">color.success.active</w:t>
            </w:r>
          </w:p>
        </w:tc>
        <w:tc>
          <w:tcPr/>
          <w:p>
            <w:pPr>
              <w:pStyle w:val="Compact"/>
              <w:jc w:val="left"/>
            </w:pPr>
            <w:r>
              <w:t xml:space="preserve">#15804A</w:t>
            </w:r>
          </w:p>
        </w:tc>
        <w:tc>
          <w:tcPr/>
          <w:p>
            <w:pPr>
              <w:pStyle w:val="Compact"/>
              <w:jc w:val="left"/>
            </w:pPr>
            <w:r>
              <w:t xml:space="preserve">Pressed state on hit elements</w:t>
            </w:r>
          </w:p>
        </w:tc>
      </w:tr>
    </w:tbl>
    <w:p>
      <w:pPr>
        <w:pStyle w:val="BodyText"/>
      </w:pPr>
      <w:r>
        <w:t xml:space="preserve">Miss / Failure (Grid outer cells)</w:t>
      </w:r>
    </w:p>
    <w:p>
      <w:pPr>
        <w:pStyle w:val="BodyText"/>
      </w:pPr>
      <w:r>
        <w:t xml:space="preserve">Miss uses neutral cool grey. Failure is informational, not punitive. No red for miss.</w:t>
      </w:r>
    </w:p>
    <w:tbl>
      <w:tblPr>
        <w:tblStyle w:val="Table"/>
        <w:tblW w:type="pct" w:w="4873"/>
        <w:tblLook w:firstRow="1" w:lastRow="0" w:firstColumn="0" w:lastColumn="0" w:noHBand="0" w:noVBand="0" w:val="0020"/>
        <w:jc w:val="start"/>
      </w:tblPr>
      <w:tblGrid>
        <w:gridCol w:w="2807"/>
        <w:gridCol w:w="1604"/>
        <w:gridCol w:w="3308"/>
      </w:tblGrid>
      <w:tr>
        <w:trPr>
          <w:tblHeader w:val="true"/>
        </w:trPr>
        <w:tc>
          <w:tcPr/>
          <w:p>
            <w:pPr>
              <w:pStyle w:val="Compact"/>
              <w:jc w:val="left"/>
            </w:pPr>
            <w:r>
              <w:t xml:space="preserve">Token</w:t>
            </w:r>
          </w:p>
        </w:tc>
        <w:tc>
          <w:tcPr/>
          <w:p>
            <w:pPr>
              <w:pStyle w:val="Compact"/>
              <w:jc w:val="left"/>
            </w:pPr>
            <w:r>
              <w:t xml:space="preserve">Value</w:t>
            </w:r>
          </w:p>
        </w:tc>
        <w:tc>
          <w:tcPr/>
          <w:p>
            <w:pPr>
              <w:pStyle w:val="Compact"/>
              <w:jc w:val="left"/>
            </w:pPr>
            <w:r>
              <w:t xml:space="preserve">Notes / Usage</w:t>
            </w:r>
          </w:p>
        </w:tc>
      </w:tr>
      <w:tr>
        <w:tc>
          <w:tcPr/>
          <w:p>
            <w:pPr>
              <w:pStyle w:val="Compact"/>
              <w:jc w:val="left"/>
            </w:pPr>
            <w:r>
              <w:t xml:space="preserve">color.neutral.miss</w:t>
            </w:r>
          </w:p>
        </w:tc>
        <w:tc>
          <w:tcPr/>
          <w:p>
            <w:pPr>
              <w:pStyle w:val="Compact"/>
              <w:jc w:val="left"/>
            </w:pPr>
            <w:r>
              <w:t xml:space="preserve">#3A3F46</w:t>
            </w:r>
          </w:p>
        </w:tc>
        <w:tc>
          <w:tcPr/>
          <w:p>
            <w:pPr>
              <w:pStyle w:val="Compact"/>
              <w:jc w:val="left"/>
            </w:pPr>
            <w:r>
              <w:t xml:space="preserve">Default miss state</w:t>
            </w:r>
          </w:p>
        </w:tc>
      </w:tr>
      <w:tr>
        <w:tc>
          <w:tcPr/>
          <w:p>
            <w:pPr>
              <w:pStyle w:val="Compact"/>
              <w:jc w:val="left"/>
            </w:pPr>
            <w:r>
              <w:t xml:space="preserve">color.neutral.miss.active</w:t>
            </w:r>
          </w:p>
        </w:tc>
        <w:tc>
          <w:tcPr/>
          <w:p>
            <w:pPr>
              <w:pStyle w:val="Compact"/>
              <w:jc w:val="left"/>
            </w:pPr>
            <w:r>
              <w:t xml:space="preserve">#2C3036</w:t>
            </w:r>
          </w:p>
        </w:tc>
        <w:tc>
          <w:tcPr/>
          <w:p>
            <w:pPr>
              <w:pStyle w:val="Compact"/>
              <w:jc w:val="left"/>
            </w:pPr>
            <w:r>
              <w:t xml:space="preserve">Pressed miss state</w:t>
            </w:r>
          </w:p>
        </w:tc>
      </w:tr>
      <w:tr>
        <w:tc>
          <w:tcPr/>
          <w:p>
            <w:pPr>
              <w:pStyle w:val="Compact"/>
              <w:jc w:val="left"/>
            </w:pPr>
            <w:r>
              <w:t xml:space="preserve">color.neutral.miss.border</w:t>
            </w:r>
          </w:p>
        </w:tc>
        <w:tc>
          <w:tcPr/>
          <w:p>
            <w:pPr>
              <w:pStyle w:val="Compact"/>
              <w:jc w:val="left"/>
            </w:pPr>
            <w:r>
              <w:t xml:space="preserve">#4A5058</w:t>
            </w:r>
          </w:p>
        </w:tc>
        <w:tc>
          <w:tcPr/>
          <w:p>
            <w:pPr>
              <w:pStyle w:val="Compact"/>
              <w:jc w:val="left"/>
            </w:pPr>
            <w:r>
              <w:t xml:space="preserve">Subtle border on miss surfaces</w:t>
            </w:r>
          </w:p>
        </w:tc>
      </w:tr>
    </w:tbl>
    <w:p>
      <w:pPr>
        <w:pStyle w:val="BodyText"/>
      </w:pPr>
      <w:r>
        <w:t xml:space="preserve">Warning / Integrity (Section 11)</w:t>
      </w:r>
    </w:p>
    <w:p>
      <w:pPr>
        <w:pStyle w:val="BodyText"/>
      </w:pPr>
      <w:r>
        <w:t xml:space="preserve">Integrity indicators are observational only. Must remain visually distinct from hit, miss, interaction, and error colours.</w:t>
      </w:r>
    </w:p>
    <w:tbl>
      <w:tblPr>
        <w:tblStyle w:val="Table"/>
        <w:tblW w:type="pct" w:w="4890"/>
        <w:tblLook w:firstRow="1" w:lastRow="0" w:firstColumn="0" w:lastColumn="0" w:noHBand="0" w:noVBand="0" w:val="0020"/>
        <w:jc w:val="start"/>
      </w:tblPr>
      <w:tblGrid>
        <w:gridCol w:w="2785"/>
        <w:gridCol w:w="1392"/>
        <w:gridCol w:w="3568"/>
      </w:tblGrid>
      <w:tr>
        <w:trPr>
          <w:tblHeader w:val="true"/>
        </w:trPr>
        <w:tc>
          <w:tcPr/>
          <w:p>
            <w:pPr>
              <w:pStyle w:val="Compact"/>
              <w:jc w:val="left"/>
            </w:pPr>
            <w:r>
              <w:t xml:space="preserve">Token</w:t>
            </w:r>
          </w:p>
        </w:tc>
        <w:tc>
          <w:tcPr/>
          <w:p>
            <w:pPr>
              <w:pStyle w:val="Compact"/>
              <w:jc w:val="left"/>
            </w:pPr>
            <w:r>
              <w:t xml:space="preserve">Value</w:t>
            </w:r>
          </w:p>
        </w:tc>
        <w:tc>
          <w:tcPr/>
          <w:p>
            <w:pPr>
              <w:pStyle w:val="Compact"/>
              <w:jc w:val="left"/>
            </w:pPr>
            <w:r>
              <w:t xml:space="preserve">Notes / Usage</w:t>
            </w:r>
          </w:p>
        </w:tc>
      </w:tr>
      <w:tr>
        <w:tc>
          <w:tcPr/>
          <w:p>
            <w:pPr>
              <w:pStyle w:val="Compact"/>
              <w:jc w:val="left"/>
            </w:pPr>
            <w:r>
              <w:t xml:space="preserve">color.warning.integrity</w:t>
            </w:r>
          </w:p>
        </w:tc>
        <w:tc>
          <w:tcPr/>
          <w:p>
            <w:pPr>
              <w:pStyle w:val="Compact"/>
              <w:jc w:val="left"/>
            </w:pPr>
            <w:r>
              <w:t xml:space="preserve">#F5A623</w:t>
            </w:r>
          </w:p>
        </w:tc>
        <w:tc>
          <w:tcPr/>
          <w:p>
            <w:pPr>
              <w:pStyle w:val="Compact"/>
              <w:jc w:val="left"/>
            </w:pPr>
            <w:r>
              <w:t xml:space="preserve">Default integrity warning amber</w:t>
            </w:r>
          </w:p>
        </w:tc>
      </w:tr>
      <w:tr>
        <w:tc>
          <w:tcPr/>
          <w:p>
            <w:pPr>
              <w:pStyle w:val="Compact"/>
              <w:jc w:val="left"/>
            </w:pPr>
            <w:r>
              <w:t xml:space="preserve">color.warning.integrity.muted</w:t>
            </w:r>
          </w:p>
        </w:tc>
        <w:tc>
          <w:tcPr/>
          <w:p>
            <w:pPr>
              <w:pStyle w:val="Compact"/>
              <w:jc w:val="left"/>
            </w:pPr>
            <w:r>
              <w:t xml:space="preserve">#C88719</w:t>
            </w:r>
          </w:p>
        </w:tc>
        <w:tc>
          <w:tcPr/>
          <w:p>
            <w:pPr>
              <w:pStyle w:val="Compact"/>
              <w:jc w:val="left"/>
            </w:pPr>
            <w:r>
              <w:t xml:space="preserve">Muted variant for secondary indicators</w:t>
            </w:r>
          </w:p>
        </w:tc>
      </w:tr>
    </w:tbl>
    <w:p>
      <w:pPr>
        <w:pStyle w:val="BodyText"/>
      </w:pPr>
      <w:r>
        <w:t xml:space="preserve">Error / Destructive Actions</w:t>
      </w:r>
    </w:p>
    <w:p>
      <w:pPr>
        <w:pStyle w:val="BodyText"/>
      </w:pPr>
      <w:r>
        <w:t xml:space="preserve">Used only for: drill deletion, session deletion, hard destructive actions (Section 7 deletion triggers). Never used in scoring UI.</w:t>
      </w:r>
    </w:p>
    <w:tbl>
      <w:tblPr>
        <w:tblStyle w:val="Table"/>
        <w:tblW w:type="pct" w:w="4880"/>
        <w:tblLook w:firstRow="1" w:lastRow="0" w:firstColumn="0" w:lastColumn="0" w:noHBand="0" w:noVBand="0" w:val="0020"/>
        <w:jc w:val="start"/>
      </w:tblPr>
      <w:tblGrid>
        <w:gridCol w:w="3148"/>
        <w:gridCol w:w="1526"/>
        <w:gridCol w:w="3053"/>
      </w:tblGrid>
      <w:tr>
        <w:trPr>
          <w:tblHeader w:val="true"/>
        </w:trPr>
        <w:tc>
          <w:tcPr/>
          <w:p>
            <w:pPr>
              <w:pStyle w:val="Compact"/>
              <w:jc w:val="left"/>
            </w:pPr>
            <w:r>
              <w:t xml:space="preserve">Token</w:t>
            </w:r>
          </w:p>
        </w:tc>
        <w:tc>
          <w:tcPr/>
          <w:p>
            <w:pPr>
              <w:pStyle w:val="Compact"/>
              <w:jc w:val="left"/>
            </w:pPr>
            <w:r>
              <w:t xml:space="preserve">Value</w:t>
            </w:r>
          </w:p>
        </w:tc>
        <w:tc>
          <w:tcPr/>
          <w:p>
            <w:pPr>
              <w:pStyle w:val="Compact"/>
              <w:jc w:val="left"/>
            </w:pPr>
            <w:r>
              <w:t xml:space="preserve">Notes / Usage</w:t>
            </w:r>
          </w:p>
        </w:tc>
      </w:tr>
      <w:tr>
        <w:tc>
          <w:tcPr/>
          <w:p>
            <w:pPr>
              <w:pStyle w:val="Compact"/>
              <w:jc w:val="left"/>
            </w:pPr>
            <w:r>
              <w:t xml:space="preserve">color.error.destructive</w:t>
            </w:r>
          </w:p>
        </w:tc>
        <w:tc>
          <w:tcPr/>
          <w:p>
            <w:pPr>
              <w:pStyle w:val="Compact"/>
              <w:jc w:val="left"/>
            </w:pPr>
            <w:r>
              <w:t xml:space="preserve">#D64545</w:t>
            </w:r>
          </w:p>
        </w:tc>
        <w:tc>
          <w:tcPr/>
          <w:p>
            <w:pPr>
              <w:pStyle w:val="Compact"/>
              <w:jc w:val="left"/>
            </w:pPr>
            <w:r>
              <w:t xml:space="preserve">Default destructive action</w:t>
            </w:r>
          </w:p>
        </w:tc>
      </w:tr>
      <w:tr>
        <w:tc>
          <w:tcPr/>
          <w:p>
            <w:pPr>
              <w:pStyle w:val="Compact"/>
              <w:jc w:val="left"/>
            </w:pPr>
            <w:r>
              <w:t xml:space="preserve">color.error.destructive.hover</w:t>
            </w:r>
          </w:p>
        </w:tc>
        <w:tc>
          <w:tcPr/>
          <w:p>
            <w:pPr>
              <w:pStyle w:val="Compact"/>
              <w:jc w:val="left"/>
            </w:pPr>
            <w:r>
              <w:t xml:space="preserve">#E05858</w:t>
            </w:r>
          </w:p>
        </w:tc>
        <w:tc>
          <w:tcPr/>
          <w:p>
            <w:pPr>
              <w:pStyle w:val="Compact"/>
              <w:jc w:val="left"/>
            </w:pPr>
            <w:r>
              <w:t xml:space="preserve">Hover state</w:t>
            </w:r>
          </w:p>
        </w:tc>
      </w:tr>
      <w:tr>
        <w:tc>
          <w:tcPr/>
          <w:p>
            <w:pPr>
              <w:pStyle w:val="Compact"/>
              <w:jc w:val="left"/>
            </w:pPr>
            <w:r>
              <w:t xml:space="preserve">color.error.destructive.active</w:t>
            </w:r>
          </w:p>
        </w:tc>
        <w:tc>
          <w:tcPr/>
          <w:p>
            <w:pPr>
              <w:pStyle w:val="Compact"/>
              <w:jc w:val="left"/>
            </w:pPr>
            <w:r>
              <w:t xml:space="preserve">#B63737</w:t>
            </w:r>
          </w:p>
        </w:tc>
        <w:tc>
          <w:tcPr/>
          <w:p>
            <w:pPr>
              <w:pStyle w:val="Compact"/>
              <w:jc w:val="left"/>
            </w:pPr>
            <w:r>
              <w:t xml:space="preserve">Pressed state</w:t>
            </w:r>
          </w:p>
        </w:tc>
      </w:tr>
    </w:tbl>
    <w:p>
      <w:pPr>
        <w:pStyle w:val="BodyText"/>
      </w:pPr>
      <w:r>
        <w:t xml:space="preserve">15.3.3 Heatmap Colour Model</w:t>
      </w:r>
    </w:p>
    <w:p>
      <w:pPr>
        <w:pStyle w:val="BodyText"/>
      </w:pPr>
      <w:r>
        <w:t xml:space="preserve">Model: Grey → Green. Neutral base with proportional green overlay. No red divergence permitted. Continuous opacity scaling mapped to the 0–5 score range. No hard-banded tiers.</w:t>
      </w:r>
    </w:p>
    <w:tbl>
      <w:tblPr>
        <w:tblStyle w:val="Table"/>
        <w:tblW w:type="pct" w:w="4877"/>
        <w:tblLook w:firstRow="1" w:lastRow="0" w:firstColumn="0" w:lastColumn="0" w:noHBand="0" w:noVBand="0" w:val="0020"/>
        <w:jc w:val="start"/>
      </w:tblPr>
      <w:tblGrid>
        <w:gridCol w:w="2444"/>
        <w:gridCol w:w="1564"/>
        <w:gridCol w:w="3715"/>
      </w:tblGrid>
      <w:tr>
        <w:trPr>
          <w:tblHeader w:val="true"/>
        </w:trPr>
        <w:tc>
          <w:tcPr/>
          <w:p>
            <w:pPr>
              <w:pStyle w:val="Compact"/>
              <w:jc w:val="left"/>
            </w:pPr>
            <w:r>
              <w:t xml:space="preserve">Token</w:t>
            </w:r>
          </w:p>
        </w:tc>
        <w:tc>
          <w:tcPr/>
          <w:p>
            <w:pPr>
              <w:pStyle w:val="Compact"/>
              <w:jc w:val="left"/>
            </w:pPr>
            <w:r>
              <w:t xml:space="preserve">Value</w:t>
            </w:r>
          </w:p>
        </w:tc>
        <w:tc>
          <w:tcPr/>
          <w:p>
            <w:pPr>
              <w:pStyle w:val="Compact"/>
              <w:jc w:val="left"/>
            </w:pPr>
            <w:r>
              <w:t xml:space="preserve">Notes / Usage</w:t>
            </w:r>
          </w:p>
        </w:tc>
      </w:tr>
      <w:tr>
        <w:tc>
          <w:tcPr/>
          <w:p>
            <w:pPr>
              <w:pStyle w:val="Compact"/>
              <w:jc w:val="left"/>
            </w:pPr>
            <w:r>
              <w:t xml:space="preserve">heatmap.base</w:t>
            </w:r>
          </w:p>
        </w:tc>
        <w:tc>
          <w:tcPr/>
          <w:p>
            <w:pPr>
              <w:pStyle w:val="Compact"/>
              <w:jc w:val="left"/>
            </w:pPr>
            <w:r>
              <w:t xml:space="preserve">#2B2F34</w:t>
            </w:r>
          </w:p>
        </w:tc>
        <w:tc>
          <w:tcPr/>
          <w:p>
            <w:pPr>
              <w:pStyle w:val="Compact"/>
              <w:jc w:val="left"/>
            </w:pPr>
            <w:r>
              <w:t xml:space="preserve">Score ≈ 0–1 — neutral, not alarming</w:t>
            </w:r>
          </w:p>
        </w:tc>
      </w:tr>
      <w:tr>
        <w:tc>
          <w:tcPr/>
          <w:p>
            <w:pPr>
              <w:pStyle w:val="Compact"/>
              <w:jc w:val="left"/>
            </w:pPr>
            <w:r>
              <w:t xml:space="preserve">heatmap.base.border</w:t>
            </w:r>
          </w:p>
        </w:tc>
        <w:tc>
          <w:tcPr/>
          <w:p>
            <w:pPr>
              <w:pStyle w:val="Compact"/>
              <w:jc w:val="left"/>
            </w:pPr>
            <w:r>
              <w:t xml:space="preserve">#3A3F46</w:t>
            </w:r>
          </w:p>
        </w:tc>
        <w:tc>
          <w:tcPr/>
          <w:p>
            <w:pPr>
              <w:pStyle w:val="Compact"/>
              <w:jc w:val="left"/>
            </w:pPr>
            <w:r>
              <w:t xml:space="preserve">Tile border at base level</w:t>
            </w:r>
          </w:p>
        </w:tc>
      </w:tr>
      <w:tr>
        <w:tc>
          <w:tcPr/>
          <w:p>
            <w:pPr>
              <w:pStyle w:val="Compact"/>
              <w:jc w:val="left"/>
            </w:pPr>
            <w:r>
              <w:t xml:space="preserve">heatmap.base.text</w:t>
            </w:r>
          </w:p>
        </w:tc>
        <w:tc>
          <w:tcPr/>
          <w:p>
            <w:pPr>
              <w:pStyle w:val="Compact"/>
              <w:jc w:val="left"/>
            </w:pPr>
            <w:r>
              <w:t xml:space="preserve">#E6E8EB</w:t>
            </w:r>
          </w:p>
        </w:tc>
        <w:tc>
          <w:tcPr/>
          <w:p>
            <w:pPr>
              <w:pStyle w:val="Compact"/>
              <w:jc w:val="left"/>
            </w:pPr>
            <w:r>
              <w:t xml:space="preserve">Soft white text on base tiles</w:t>
            </w:r>
          </w:p>
        </w:tc>
      </w:tr>
      <w:tr>
        <w:tc>
          <w:tcPr/>
          <w:p>
            <w:pPr>
              <w:pStyle w:val="Compact"/>
              <w:jc w:val="left"/>
            </w:pPr>
            <w:r>
              <w:t xml:space="preserve">heatmap.mid</w:t>
            </w:r>
          </w:p>
        </w:tc>
        <w:tc>
          <w:tcPr/>
          <w:p>
            <w:pPr>
              <w:pStyle w:val="Compact"/>
              <w:jc w:val="left"/>
            </w:pPr>
            <w:r>
              <w:t xml:space="preserve">#145A3A</w:t>
            </w:r>
          </w:p>
        </w:tc>
        <w:tc>
          <w:tcPr/>
          <w:p>
            <w:pPr>
              <w:pStyle w:val="Compact"/>
              <w:jc w:val="left"/>
            </w:pPr>
            <w:r>
              <w:t xml:space="preserve">Score ≈ 2–3 — muted green wash</w:t>
            </w:r>
          </w:p>
        </w:tc>
      </w:tr>
      <w:tr>
        <w:tc>
          <w:tcPr/>
          <w:p>
            <w:pPr>
              <w:pStyle w:val="Compact"/>
              <w:jc w:val="left"/>
            </w:pPr>
            <w:r>
              <w:t xml:space="preserve">heatmap.high</w:t>
            </w:r>
          </w:p>
        </w:tc>
        <w:tc>
          <w:tcPr/>
          <w:p>
            <w:pPr>
              <w:pStyle w:val="Compact"/>
              <w:jc w:val="left"/>
            </w:pPr>
            <w:r>
              <w:t xml:space="preserve">#1FA463</w:t>
            </w:r>
          </w:p>
        </w:tc>
        <w:tc>
          <w:tcPr/>
          <w:p>
            <w:pPr>
              <w:pStyle w:val="Compact"/>
              <w:jc w:val="left"/>
            </w:pPr>
            <w:r>
              <w:t xml:space="preserve">Score ≈ 4–5 — full semantic green</w:t>
            </w:r>
          </w:p>
        </w:tc>
      </w:tr>
    </w:tbl>
    <w:p>
      <w:pPr>
        <w:pStyle w:val="BodyText"/>
      </w:pPr>
      <w:r>
        <w:t xml:space="preserve">Opacity of green overlay increases continuously with score. No discrete 5-step bands. Feels analytical, not badge-tiered.</w:t>
      </w:r>
    </w:p>
    <w:p>
      <w:pPr>
        <w:pStyle w:val="BodyText"/>
      </w:pPr>
      <w:r>
        <w:t xml:space="preserve">15.4 Surface &amp; Elevation System</w:t>
      </w:r>
    </w:p>
    <w:p>
      <w:pPr>
        <w:pStyle w:val="BodyText"/>
      </w:pPr>
      <w:r>
        <w:t xml:space="preserve">Dark-first interface. Elevation is achieved through tonal contrast only. No long drop shadows, no heavy glow, no neumorphism, no blur-based glass effects.</w:t>
      </w:r>
    </w:p>
    <w:tbl>
      <w:tblPr>
        <w:tblStyle w:val="Table"/>
        <w:tblW w:type="pct" w:w="4926"/>
        <w:tblLook w:firstRow="1" w:lastRow="0" w:firstColumn="0" w:lastColumn="0" w:noHBand="0" w:noVBand="0" w:val="0020"/>
        <w:jc w:val="start"/>
      </w:tblPr>
      <w:tblGrid>
        <w:gridCol w:w="1455"/>
        <w:gridCol w:w="931"/>
        <w:gridCol w:w="5415"/>
      </w:tblGrid>
      <w:tr>
        <w:trPr>
          <w:tblHeader w:val="true"/>
        </w:trPr>
        <w:tc>
          <w:tcPr/>
          <w:p>
            <w:pPr>
              <w:pStyle w:val="Compact"/>
              <w:jc w:val="left"/>
            </w:pPr>
            <w:r>
              <w:t xml:space="preserve">Token</w:t>
            </w:r>
          </w:p>
        </w:tc>
        <w:tc>
          <w:tcPr/>
          <w:p>
            <w:pPr>
              <w:pStyle w:val="Compact"/>
              <w:jc w:val="left"/>
            </w:pPr>
            <w:r>
              <w:t xml:space="preserve">Value</w:t>
            </w:r>
          </w:p>
        </w:tc>
        <w:tc>
          <w:tcPr/>
          <w:p>
            <w:pPr>
              <w:pStyle w:val="Compact"/>
              <w:jc w:val="left"/>
            </w:pPr>
            <w:r>
              <w:t xml:space="preserve">Notes / Usage</w:t>
            </w:r>
          </w:p>
        </w:tc>
      </w:tr>
      <w:tr>
        <w:tc>
          <w:tcPr/>
          <w:p>
            <w:pPr>
              <w:pStyle w:val="Compact"/>
              <w:jc w:val="left"/>
            </w:pPr>
            <w:r>
              <w:t xml:space="preserve">surface.base</w:t>
            </w:r>
          </w:p>
        </w:tc>
        <w:tc>
          <w:tcPr/>
          <w:p>
            <w:pPr>
              <w:pStyle w:val="Compact"/>
              <w:jc w:val="left"/>
            </w:pPr>
            <w:r>
              <w:t xml:space="preserve">#0F1115</w:t>
            </w:r>
          </w:p>
        </w:tc>
        <w:tc>
          <w:tcPr/>
          <w:p>
            <w:pPr>
              <w:pStyle w:val="Compact"/>
              <w:jc w:val="left"/>
            </w:pPr>
            <w:r>
              <w:t xml:space="preserve">Level 0 — App shell, behind nav, Live Practice background</w:t>
            </w:r>
          </w:p>
        </w:tc>
      </w:tr>
      <w:tr>
        <w:tc>
          <w:tcPr/>
          <w:p>
            <w:pPr>
              <w:pStyle w:val="Compact"/>
              <w:jc w:val="left"/>
            </w:pPr>
            <w:r>
              <w:t xml:space="preserve">surface.primary</w:t>
            </w:r>
          </w:p>
        </w:tc>
        <w:tc>
          <w:tcPr/>
          <w:p>
            <w:pPr>
              <w:pStyle w:val="Compact"/>
              <w:jc w:val="left"/>
            </w:pPr>
            <w:r>
              <w:t xml:space="preserve">#171A1F</w:t>
            </w:r>
          </w:p>
        </w:tc>
        <w:tc>
          <w:tcPr/>
          <w:p>
            <w:pPr>
              <w:pStyle w:val="Compact"/>
              <w:jc w:val="left"/>
            </w:pPr>
            <w:r>
              <w:t xml:space="preserve">Level 1 — Cards, calendar days, drill list rows, heatmap tile base, queue entries</w:t>
            </w:r>
          </w:p>
        </w:tc>
      </w:tr>
      <w:tr>
        <w:tc>
          <w:tcPr/>
          <w:p>
            <w:pPr>
              <w:pStyle w:val="Compact"/>
              <w:jc w:val="left"/>
            </w:pPr>
            <w:r>
              <w:t xml:space="preserve">surface.raised</w:t>
            </w:r>
          </w:p>
        </w:tc>
        <w:tc>
          <w:tcPr/>
          <w:p>
            <w:pPr>
              <w:pStyle w:val="Compact"/>
              <w:jc w:val="left"/>
            </w:pPr>
            <w:r>
              <w:t xml:space="preserve">#1E232A</w:t>
            </w:r>
          </w:p>
        </w:tc>
        <w:tc>
          <w:tcPr/>
          <w:p>
            <w:pPr>
              <w:pStyle w:val="Compact"/>
              <w:jc w:val="left"/>
            </w:pPr>
            <w:r>
              <w:t xml:space="preserve">Level 2 — Bottom drawer, secondary overlays, bulk entry, expanded club selector, dropdowns</w:t>
            </w:r>
          </w:p>
        </w:tc>
      </w:tr>
      <w:tr>
        <w:tc>
          <w:tcPr/>
          <w:p>
            <w:pPr>
              <w:pStyle w:val="Compact"/>
              <w:jc w:val="left"/>
            </w:pPr>
            <w:r>
              <w:t xml:space="preserve">surface.modal</w:t>
            </w:r>
          </w:p>
        </w:tc>
        <w:tc>
          <w:tcPr/>
          <w:p>
            <w:pPr>
              <w:pStyle w:val="Compact"/>
              <w:jc w:val="left"/>
            </w:pPr>
            <w:r>
              <w:t xml:space="preserve">#242A32</w:t>
            </w:r>
          </w:p>
        </w:tc>
        <w:tc>
          <w:tcPr/>
          <w:p>
            <w:pPr>
              <w:pStyle w:val="Compact"/>
              <w:jc w:val="left"/>
            </w:pPr>
            <w:r>
              <w:t xml:space="preserve">Level 3 — Confirmation dialogs, destructive confirmation (Section 10)</w:t>
            </w:r>
          </w:p>
        </w:tc>
      </w:tr>
      <w:tr>
        <w:tc>
          <w:tcPr/>
          <w:p>
            <w:pPr>
              <w:pStyle w:val="Compact"/>
              <w:jc w:val="left"/>
            </w:pPr>
            <w:r>
              <w:t xml:space="preserve">surface.border</w:t>
            </w:r>
          </w:p>
        </w:tc>
        <w:tc>
          <w:tcPr/>
          <w:p>
            <w:pPr>
              <w:pStyle w:val="Compact"/>
              <w:jc w:val="left"/>
            </w:pPr>
            <w:r>
              <w:t xml:space="preserve">#2A2F36</w:t>
            </w:r>
          </w:p>
        </w:tc>
        <w:tc>
          <w:tcPr/>
          <w:p>
            <w:pPr>
              <w:pStyle w:val="Compact"/>
              <w:jc w:val="left"/>
            </w:pPr>
            <w:r>
              <w:t xml:space="preserve">Optional 1px border on raised surfaces</w:t>
            </w:r>
          </w:p>
        </w:tc>
      </w:tr>
    </w:tbl>
    <w:p>
      <w:pPr>
        <w:pStyle w:val="BodyText"/>
      </w:pPr>
      <w:r>
        <w:t xml:space="preserve">Modal Backdrop</w:t>
      </w:r>
    </w:p>
    <w:tbl>
      <w:tblPr>
        <w:tblStyle w:val="Table"/>
        <w:tblW w:type="pct" w:w="4878"/>
        <w:tblLook w:firstRow="1" w:lastRow="0" w:firstColumn="0" w:lastColumn="0" w:noHBand="0" w:noVBand="0" w:val="0020"/>
        <w:jc w:val="start"/>
      </w:tblPr>
      <w:tblGrid>
        <w:gridCol w:w="2414"/>
        <w:gridCol w:w="2124"/>
        <w:gridCol w:w="3187"/>
      </w:tblGrid>
      <w:tr>
        <w:trPr>
          <w:tblHeader w:val="true"/>
        </w:trPr>
        <w:tc>
          <w:tcPr/>
          <w:p>
            <w:pPr>
              <w:pStyle w:val="Compact"/>
              <w:jc w:val="left"/>
            </w:pPr>
            <w:r>
              <w:t xml:space="preserve">Token</w:t>
            </w:r>
          </w:p>
        </w:tc>
        <w:tc>
          <w:tcPr/>
          <w:p>
            <w:pPr>
              <w:pStyle w:val="Compact"/>
              <w:jc w:val="left"/>
            </w:pPr>
            <w:r>
              <w:t xml:space="preserve">Value</w:t>
            </w:r>
          </w:p>
        </w:tc>
        <w:tc>
          <w:tcPr/>
          <w:p>
            <w:pPr>
              <w:pStyle w:val="Compact"/>
              <w:jc w:val="left"/>
            </w:pPr>
            <w:r>
              <w:t xml:space="preserve">Notes / Usage</w:t>
            </w:r>
          </w:p>
        </w:tc>
      </w:tr>
      <w:tr>
        <w:tc>
          <w:tcPr/>
          <w:p>
            <w:pPr>
              <w:pStyle w:val="Compact"/>
              <w:jc w:val="left"/>
            </w:pPr>
            <w:r>
              <w:t xml:space="preserve">surface.scrim</w:t>
            </w:r>
          </w:p>
        </w:tc>
        <w:tc>
          <w:tcPr/>
          <w:p>
            <w:pPr>
              <w:pStyle w:val="Compact"/>
              <w:jc w:val="left"/>
            </w:pPr>
            <w:r>
              <w:t xml:space="preserve">Black @ 40% opacity</w:t>
            </w:r>
          </w:p>
        </w:tc>
        <w:tc>
          <w:tcPr/>
          <w:p>
            <w:pPr>
              <w:pStyle w:val="Compact"/>
              <w:jc w:val="left"/>
            </w:pPr>
            <w:r>
              <w:t xml:space="preserve">Backdrop behind modal surfaces</w:t>
            </w:r>
          </w:p>
        </w:tc>
      </w:tr>
    </w:tbl>
    <w:p>
      <w:pPr>
        <w:pStyle w:val="BodyText"/>
      </w:pPr>
      <w:r>
        <w:t xml:space="preserve">No blur effects on scrim. Clean darkening only.</w:t>
      </w:r>
    </w:p>
    <w:p>
      <w:pPr>
        <w:pStyle w:val="BodyText"/>
      </w:pPr>
      <w:r>
        <w:t xml:space="preserve">On-Press Surface Behaviour</w:t>
      </w:r>
    </w:p>
    <w:p>
      <w:pPr>
        <w:pStyle w:val="BodyText"/>
      </w:pPr>
      <w:r>
        <w:t xml:space="preserve">On press: surface darkens by approximately 4%. No scale animation. No bounce. Feels controlled and mechanical.</w:t>
      </w:r>
    </w:p>
    <w:p>
      <w:pPr>
        <w:pStyle w:val="BodyText"/>
      </w:pPr>
      <w:r>
        <w:t xml:space="preserve">Elevation Exclusion List</w:t>
      </w:r>
    </w:p>
    <w:p>
      <w:pPr>
        <w:pStyle w:val="BodyText"/>
      </w:pPr>
      <w:r>
        <w:t xml:space="preserve">The following are explicitly prohibited: long drop shadows, heavy glow effects, floating neumorphism, blur-based glass/frosted effects, gradient surfaces.</w:t>
      </w:r>
    </w:p>
    <w:p>
      <w:pPr>
        <w:pStyle w:val="BodyText"/>
      </w:pPr>
      <w:r>
        <w:t xml:space="preserve">15.5 Typography System</w:t>
      </w:r>
    </w:p>
    <w:p>
      <w:pPr>
        <w:pStyle w:val="BodyText"/>
      </w:pPr>
      <w:r>
        <w:t xml:space="preserve">Typeface Category</w:t>
      </w:r>
    </w:p>
    <w:p>
      <w:pPr>
        <w:pStyle w:val="BodyText"/>
      </w:pPr>
      <w:r>
        <w:t xml:space="preserve">Technical Geometric Sans. Characteristics: slightly squared curves, open apertures, high legibility numerals, tabular number support (critical), medium contrast between weights. Reference families for evaluation: Manrope, IBM Plex Sans, Satoshi, Space Grotesk.</w:t>
      </w:r>
    </w:p>
    <w:p>
      <w:pPr>
        <w:pStyle w:val="BodyText"/>
      </w:pPr>
      <w:r>
        <w:t xml:space="preserve">Text Hierarchy</w:t>
      </w:r>
    </w:p>
    <w:tbl>
      <w:tblPr>
        <w:tblStyle w:val="Table"/>
        <w:tblW w:type="pct" w:w="4908"/>
        <w:tblLook w:firstRow="1" w:lastRow="0" w:firstColumn="0" w:lastColumn="0" w:noHBand="0" w:noVBand="0" w:val="0020"/>
        <w:jc w:val="start"/>
      </w:tblPr>
      <w:tblGrid>
        <w:gridCol w:w="1816"/>
        <w:gridCol w:w="1816"/>
        <w:gridCol w:w="4141"/>
      </w:tblGrid>
      <w:tr>
        <w:trPr>
          <w:tblHeader w:val="true"/>
        </w:trPr>
        <w:tc>
          <w:tcPr/>
          <w:p>
            <w:pPr>
              <w:pStyle w:val="Compact"/>
              <w:jc w:val="left"/>
            </w:pPr>
            <w:r>
              <w:t xml:space="preserve">Token</w:t>
            </w:r>
          </w:p>
        </w:tc>
        <w:tc>
          <w:tcPr/>
          <w:p>
            <w:pPr>
              <w:pStyle w:val="Compact"/>
              <w:jc w:val="left"/>
            </w:pPr>
            <w:r>
              <w:t xml:space="preserve">Value</w:t>
            </w:r>
          </w:p>
        </w:tc>
        <w:tc>
          <w:tcPr/>
          <w:p>
            <w:pPr>
              <w:pStyle w:val="Compact"/>
              <w:jc w:val="left"/>
            </w:pPr>
            <w:r>
              <w:t xml:space="preserve">Notes / Usage</w:t>
            </w:r>
          </w:p>
        </w:tc>
      </w:tr>
      <w:tr>
        <w:tc>
          <w:tcPr/>
          <w:p>
            <w:pPr>
              <w:pStyle w:val="Compact"/>
              <w:jc w:val="left"/>
            </w:pPr>
            <w:r>
              <w:t xml:space="preserve">type.display.xl</w:t>
            </w:r>
          </w:p>
        </w:tc>
        <w:tc>
          <w:tcPr/>
          <w:p>
            <w:pPr>
              <w:pStyle w:val="Compact"/>
              <w:jc w:val="left"/>
            </w:pPr>
            <w:r>
              <w:t xml:space="preserve">32–40px, SemiBold</w:t>
            </w:r>
          </w:p>
        </w:tc>
        <w:tc>
          <w:tcPr/>
          <w:p>
            <w:pPr>
              <w:pStyle w:val="Compact"/>
              <w:jc w:val="left"/>
            </w:pPr>
            <w:r>
              <w:t xml:space="preserve">Overall Score (0–1000) — authoritative, not decorative</w:t>
            </w:r>
          </w:p>
        </w:tc>
      </w:tr>
      <w:tr>
        <w:tc>
          <w:tcPr/>
          <w:p>
            <w:pPr>
              <w:pStyle w:val="Compact"/>
              <w:jc w:val="left"/>
            </w:pPr>
            <w:r>
              <w:t xml:space="preserve">type.display.lg</w:t>
            </w:r>
          </w:p>
        </w:tc>
        <w:tc>
          <w:tcPr/>
          <w:p>
            <w:pPr>
              <w:pStyle w:val="Compact"/>
              <w:jc w:val="left"/>
            </w:pPr>
            <w:r>
              <w:t xml:space="preserve">24–28px, SemiBold</w:t>
            </w:r>
          </w:p>
        </w:tc>
        <w:tc>
          <w:tcPr/>
          <w:p>
            <w:pPr>
              <w:pStyle w:val="Compact"/>
              <w:jc w:val="left"/>
            </w:pPr>
            <w:r>
              <w:t xml:space="preserve">Session Score (0–5)</w:t>
            </w:r>
          </w:p>
        </w:tc>
      </w:tr>
      <w:tr>
        <w:tc>
          <w:tcPr/>
          <w:p>
            <w:pPr>
              <w:pStyle w:val="Compact"/>
              <w:jc w:val="left"/>
            </w:pPr>
            <w:r>
              <w:t xml:space="preserve">type.header.section</w:t>
            </w:r>
          </w:p>
        </w:tc>
        <w:tc>
          <w:tcPr/>
          <w:p>
            <w:pPr>
              <w:pStyle w:val="Compact"/>
              <w:jc w:val="left"/>
            </w:pPr>
            <w:r>
              <w:t xml:space="preserve">18–22px, Medium</w:t>
            </w:r>
          </w:p>
        </w:tc>
        <w:tc>
          <w:tcPr/>
          <w:p>
            <w:pPr>
              <w:pStyle w:val="Compact"/>
              <w:jc w:val="left"/>
            </w:pPr>
            <w:r>
              <w:t xml:space="preserve">Skill Area / Drill Name headers</w:t>
            </w:r>
          </w:p>
        </w:tc>
      </w:tr>
      <w:tr>
        <w:tc>
          <w:tcPr/>
          <w:p>
            <w:pPr>
              <w:pStyle w:val="Compact"/>
              <w:jc w:val="left"/>
            </w:pPr>
            <w:r>
              <w:t xml:space="preserve">type.body</w:t>
            </w:r>
          </w:p>
        </w:tc>
        <w:tc>
          <w:tcPr/>
          <w:p>
            <w:pPr>
              <w:pStyle w:val="Compact"/>
              <w:jc w:val="left"/>
            </w:pPr>
            <w:r>
              <w:t xml:space="preserve">14–16px, Regular</w:t>
            </w:r>
          </w:p>
        </w:tc>
        <w:tc>
          <w:tcPr/>
          <w:p>
            <w:pPr>
              <w:pStyle w:val="Compact"/>
              <w:jc w:val="left"/>
            </w:pPr>
            <w:r>
              <w:t xml:space="preserve">Body text, metadata — off-white, not pure white</w:t>
            </w:r>
          </w:p>
        </w:tc>
      </w:tr>
      <w:tr>
        <w:tc>
          <w:tcPr/>
          <w:p>
            <w:pPr>
              <w:pStyle w:val="Compact"/>
              <w:jc w:val="left"/>
            </w:pPr>
            <w:r>
              <w:t xml:space="preserve">type.micro</w:t>
            </w:r>
          </w:p>
        </w:tc>
        <w:tc>
          <w:tcPr/>
          <w:p>
            <w:pPr>
              <w:pStyle w:val="Compact"/>
              <w:jc w:val="left"/>
            </w:pPr>
            <w:r>
              <w:t xml:space="preserve">12px, Regular @ 70–80%</w:t>
            </w:r>
          </w:p>
        </w:tc>
        <w:tc>
          <w:tcPr/>
          <w:p>
            <w:pPr>
              <w:pStyle w:val="Compact"/>
              <w:jc w:val="left"/>
            </w:pPr>
            <w:r>
              <w:t xml:space="preserve">Set 1/3 – Attempt 4/10, timestamps, secondary labels</w:t>
            </w:r>
          </w:p>
        </w:tc>
      </w:tr>
    </w:tbl>
    <w:p>
      <w:pPr>
        <w:pStyle w:val="BodyText"/>
      </w:pPr>
      <w:r>
        <w:t xml:space="preserve">Numeric Governance</w:t>
      </w:r>
    </w:p>
    <w:p>
      <w:pPr>
        <w:pStyle w:val="BodyText"/>
      </w:pPr>
      <w:r>
        <w:t xml:space="preserve">All score displays use tabular lining numerals. No animated counting. No decorative numerals. Numerals must have consistent baseline width and avoid rounded</w:t>
      </w:r>
      <w:r>
        <w:t xml:space="preserve"> </w:t>
      </w:r>
      <w:r>
        <w:t xml:space="preserve">“</w:t>
      </w:r>
      <w:r>
        <w:t xml:space="preserve">friendly</w:t>
      </w:r>
      <w:r>
        <w:t xml:space="preserve">”</w:t>
      </w:r>
      <w:r>
        <w:t xml:space="preserve"> </w:t>
      </w:r>
      <w:r>
        <w:t xml:space="preserve">zero.</w:t>
      </w:r>
    </w:p>
    <w:p>
      <w:pPr>
        <w:pStyle w:val="BodyText"/>
      </w:pPr>
      <w:r>
        <w:t xml:space="preserve">Typography Exclusion List</w:t>
      </w:r>
    </w:p>
    <w:p>
      <w:pPr>
        <w:pStyle w:val="BodyText"/>
      </w:pPr>
      <w:r>
        <w:t xml:space="preserve">The following are explicitly prohibited: condensed athletic headers, italics used for energy or emphasis, decorative or display numerals, overly wide letter-spacing, scripted or lifestyle-feeling typefaces, uppercase sports-style wide caps, small caps for micro-labels (too stylised).</w:t>
      </w:r>
    </w:p>
    <w:p>
      <w:pPr>
        <w:pStyle w:val="BodyText"/>
      </w:pPr>
      <w:r>
        <w:t xml:space="preserve">15.6 Spacing &amp; Layout Grid</w:t>
      </w:r>
    </w:p>
    <w:p>
      <w:pPr>
        <w:pStyle w:val="BodyText"/>
      </w:pPr>
      <w:r>
        <w:t xml:space="preserve">4px base grid. All spacing values are multiples of 4. No arbitrary spacing values (e.g. 13px, 22px) are permitted anywhere in the system.</w:t>
      </w:r>
    </w:p>
    <w:tbl>
      <w:tblPr>
        <w:tblStyle w:val="Table"/>
        <w:tblW w:type="pct" w:w="4899"/>
        <w:tblLook w:firstRow="1" w:lastRow="0" w:firstColumn="0" w:lastColumn="0" w:noHBand="0" w:noVBand="0" w:val="0020"/>
        <w:jc w:val="start"/>
      </w:tblPr>
      <w:tblGrid>
        <w:gridCol w:w="2000"/>
        <w:gridCol w:w="1280"/>
        <w:gridCol w:w="4480"/>
      </w:tblGrid>
      <w:tr>
        <w:trPr>
          <w:tblHeader w:val="true"/>
        </w:trPr>
        <w:tc>
          <w:tcPr/>
          <w:p>
            <w:pPr>
              <w:pStyle w:val="Compact"/>
              <w:jc w:val="left"/>
            </w:pPr>
            <w:r>
              <w:t xml:space="preserve">Token</w:t>
            </w:r>
          </w:p>
        </w:tc>
        <w:tc>
          <w:tcPr/>
          <w:p>
            <w:pPr>
              <w:pStyle w:val="Compact"/>
              <w:jc w:val="left"/>
            </w:pPr>
            <w:r>
              <w:t xml:space="preserve">Value</w:t>
            </w:r>
          </w:p>
        </w:tc>
        <w:tc>
          <w:tcPr/>
          <w:p>
            <w:pPr>
              <w:pStyle w:val="Compact"/>
              <w:jc w:val="left"/>
            </w:pPr>
            <w:r>
              <w:t xml:space="preserve">Notes / Usage</w:t>
            </w:r>
          </w:p>
        </w:tc>
      </w:tr>
      <w:tr>
        <w:tc>
          <w:tcPr/>
          <w:p>
            <w:pPr>
              <w:pStyle w:val="Compact"/>
              <w:jc w:val="left"/>
            </w:pPr>
            <w:r>
              <w:t xml:space="preserve">spacing.8</w:t>
            </w:r>
          </w:p>
        </w:tc>
        <w:tc>
          <w:tcPr/>
          <w:p>
            <w:pPr>
              <w:pStyle w:val="Compact"/>
              <w:jc w:val="left"/>
            </w:pPr>
            <w:r>
              <w:t xml:space="preserve">8px</w:t>
            </w:r>
          </w:p>
        </w:tc>
        <w:tc>
          <w:tcPr/>
          <w:p>
            <w:pPr>
              <w:pStyle w:val="Compact"/>
              <w:jc w:val="left"/>
            </w:pPr>
            <w:r>
              <w:t xml:space="preserve">Micro: icon-to-label, inside compact components</w:t>
            </w:r>
          </w:p>
        </w:tc>
      </w:tr>
      <w:tr>
        <w:tc>
          <w:tcPr/>
          <w:p>
            <w:pPr>
              <w:pStyle w:val="Compact"/>
              <w:jc w:val="left"/>
            </w:pPr>
            <w:r>
              <w:t xml:space="preserve">spacing.16</w:t>
            </w:r>
          </w:p>
        </w:tc>
        <w:tc>
          <w:tcPr/>
          <w:p>
            <w:pPr>
              <w:pStyle w:val="Compact"/>
              <w:jc w:val="left"/>
            </w:pPr>
            <w:r>
              <w:t xml:space="preserve">16px</w:t>
            </w:r>
          </w:p>
        </w:tc>
        <w:tc>
          <w:tcPr/>
          <w:p>
            <w:pPr>
              <w:pStyle w:val="Compact"/>
              <w:jc w:val="left"/>
            </w:pPr>
            <w:r>
              <w:t xml:space="preserve">Standard: card padding, between list rows</w:t>
            </w:r>
          </w:p>
        </w:tc>
      </w:tr>
      <w:tr>
        <w:tc>
          <w:tcPr/>
          <w:p>
            <w:pPr>
              <w:pStyle w:val="Compact"/>
              <w:jc w:val="left"/>
            </w:pPr>
            <w:r>
              <w:t xml:space="preserve">spacing.24</w:t>
            </w:r>
          </w:p>
        </w:tc>
        <w:tc>
          <w:tcPr/>
          <w:p>
            <w:pPr>
              <w:pStyle w:val="Compact"/>
              <w:jc w:val="left"/>
            </w:pPr>
            <w:r>
              <w:t xml:space="preserve">24px</w:t>
            </w:r>
          </w:p>
        </w:tc>
        <w:tc>
          <w:tcPr/>
          <w:p>
            <w:pPr>
              <w:pStyle w:val="Compact"/>
              <w:jc w:val="left"/>
            </w:pPr>
            <w:r>
              <w:t xml:space="preserve">Section separation between major sections</w:t>
            </w:r>
          </w:p>
        </w:tc>
      </w:tr>
      <w:tr>
        <w:tc>
          <w:tcPr/>
          <w:p>
            <w:pPr>
              <w:pStyle w:val="Compact"/>
              <w:jc w:val="left"/>
            </w:pPr>
            <w:r>
              <w:t xml:space="preserve">spacing.32</w:t>
            </w:r>
          </w:p>
        </w:tc>
        <w:tc>
          <w:tcPr/>
          <w:p>
            <w:pPr>
              <w:pStyle w:val="Compact"/>
              <w:jc w:val="left"/>
            </w:pPr>
            <w:r>
              <w:t xml:space="preserve">32px</w:t>
            </w:r>
          </w:p>
        </w:tc>
        <w:tc>
          <w:tcPr/>
          <w:p>
            <w:pPr>
              <w:pStyle w:val="Compact"/>
              <w:jc w:val="left"/>
            </w:pPr>
            <w:r>
              <w:t xml:space="preserve">Major block separation (e.g. Dashboard sections)</w:t>
            </w:r>
          </w:p>
        </w:tc>
      </w:tr>
      <w:tr>
        <w:tc>
          <w:tcPr/>
          <w:p>
            <w:pPr>
              <w:pStyle w:val="Compact"/>
              <w:jc w:val="left"/>
            </w:pPr>
            <w:r>
              <w:t xml:space="preserve">spacing.48</w:t>
            </w:r>
          </w:p>
        </w:tc>
        <w:tc>
          <w:tcPr/>
          <w:p>
            <w:pPr>
              <w:pStyle w:val="Compact"/>
              <w:jc w:val="left"/>
            </w:pPr>
            <w:r>
              <w:t xml:space="preserve">48px</w:t>
            </w:r>
          </w:p>
        </w:tc>
        <w:tc>
          <w:tcPr/>
          <w:p>
            <w:pPr>
              <w:pStyle w:val="Compact"/>
              <w:jc w:val="left"/>
            </w:pPr>
            <w:r>
              <w:t xml:space="preserve">Visual reset — used only for intentional large breaks</w:t>
            </w:r>
          </w:p>
        </w:tc>
      </w:tr>
    </w:tbl>
    <w:p>
      <w:pPr>
        <w:pStyle w:val="BodyText"/>
      </w:pPr>
      <w:r>
        <w:t xml:space="preserve">Application</w:t>
      </w:r>
    </w:p>
    <w:p>
      <w:pPr>
        <w:pStyle w:val="BodyText"/>
      </w:pPr>
      <w:r>
        <w:t xml:space="preserve">This spacing system applies uniformly across Drill Entry Screens (Section 14), Review Dashboard (Section 5), Calendar surfaces (Section 8), Live Practice queue (Section 13), and all other UI surfaces.</w:t>
      </w:r>
    </w:p>
    <w:p>
      <w:pPr>
        <w:pStyle w:val="BodyText"/>
      </w:pPr>
      <w:r>
        <w:t xml:space="preserve">15.7 Shape Language</w:t>
      </w:r>
    </w:p>
    <w:tbl>
      <w:tblPr>
        <w:tblStyle w:val="Table"/>
        <w:tblW w:type="pct" w:w="4930"/>
        <w:tblLook w:firstRow="1" w:lastRow="0" w:firstColumn="0" w:lastColumn="0" w:noHBand="0" w:noVBand="0" w:val="0020"/>
        <w:jc w:val="start"/>
      </w:tblPr>
      <w:tblGrid>
        <w:gridCol w:w="1384"/>
        <w:gridCol w:w="886"/>
        <w:gridCol w:w="5538"/>
      </w:tblGrid>
      <w:tr>
        <w:trPr>
          <w:tblHeader w:val="true"/>
        </w:trPr>
        <w:tc>
          <w:tcPr/>
          <w:p>
            <w:pPr>
              <w:pStyle w:val="Compact"/>
              <w:jc w:val="left"/>
            </w:pPr>
            <w:r>
              <w:t xml:space="preserve">Token</w:t>
            </w:r>
          </w:p>
        </w:tc>
        <w:tc>
          <w:tcPr/>
          <w:p>
            <w:pPr>
              <w:pStyle w:val="Compact"/>
              <w:jc w:val="left"/>
            </w:pPr>
            <w:r>
              <w:t xml:space="preserve">Value</w:t>
            </w:r>
          </w:p>
        </w:tc>
        <w:tc>
          <w:tcPr/>
          <w:p>
            <w:pPr>
              <w:pStyle w:val="Compact"/>
              <w:jc w:val="left"/>
            </w:pPr>
            <w:r>
              <w:t xml:space="preserve">Notes / Usage</w:t>
            </w:r>
          </w:p>
        </w:tc>
      </w:tr>
      <w:tr>
        <w:tc>
          <w:tcPr/>
          <w:p>
            <w:pPr>
              <w:pStyle w:val="Compact"/>
              <w:jc w:val="left"/>
            </w:pPr>
            <w:r>
              <w:t xml:space="preserve">radius.card</w:t>
            </w:r>
          </w:p>
        </w:tc>
        <w:tc>
          <w:tcPr/>
          <w:p>
            <w:pPr>
              <w:pStyle w:val="Compact"/>
              <w:jc w:val="left"/>
            </w:pPr>
            <w:r>
              <w:t xml:space="preserve">8px</w:t>
            </w:r>
          </w:p>
        </w:tc>
        <w:tc>
          <w:tcPr/>
          <w:p>
            <w:pPr>
              <w:pStyle w:val="Compact"/>
              <w:jc w:val="left"/>
            </w:pPr>
            <w:r>
              <w:t xml:space="preserve">Cards, buttons, calendar tiles, heatmap tiles, drawer surfaces, input fields, achievement banners</w:t>
            </w:r>
          </w:p>
        </w:tc>
      </w:tr>
      <w:tr>
        <w:tc>
          <w:tcPr/>
          <w:p>
            <w:pPr>
              <w:pStyle w:val="Compact"/>
              <w:jc w:val="left"/>
            </w:pPr>
            <w:r>
              <w:t xml:space="preserve">radius.grid</w:t>
            </w:r>
          </w:p>
        </w:tc>
        <w:tc>
          <w:tcPr/>
          <w:p>
            <w:pPr>
              <w:pStyle w:val="Compact"/>
              <w:jc w:val="left"/>
            </w:pPr>
            <w:r>
              <w:t xml:space="preserve">6px</w:t>
            </w:r>
          </w:p>
        </w:tc>
        <w:tc>
          <w:tcPr/>
          <w:p>
            <w:pPr>
              <w:pStyle w:val="Compact"/>
              <w:jc w:val="left"/>
            </w:pPr>
            <w:r>
              <w:t xml:space="preserve">Grid cells (1×3, 3×1, future 3×3) — tighter feel, reads as target matrix</w:t>
            </w:r>
          </w:p>
        </w:tc>
      </w:tr>
      <w:tr>
        <w:tc>
          <w:tcPr/>
          <w:p>
            <w:pPr>
              <w:pStyle w:val="Compact"/>
              <w:jc w:val="left"/>
            </w:pPr>
            <w:r>
              <w:t xml:space="preserve">radius.modal</w:t>
            </w:r>
          </w:p>
        </w:tc>
        <w:tc>
          <w:tcPr/>
          <w:p>
            <w:pPr>
              <w:pStyle w:val="Compact"/>
              <w:jc w:val="left"/>
            </w:pPr>
            <w:r>
              <w:t xml:space="preserve">10px</w:t>
            </w:r>
          </w:p>
        </w:tc>
        <w:tc>
          <w:tcPr/>
          <w:p>
            <w:pPr>
              <w:pStyle w:val="Compact"/>
              <w:jc w:val="left"/>
            </w:pPr>
            <w:r>
              <w:t xml:space="preserve">Modals, confirmation dialogs — slightly larger for layering hierarchy</w:t>
            </w:r>
          </w:p>
        </w:tc>
      </w:tr>
    </w:tbl>
    <w:p>
      <w:pPr>
        <w:pStyle w:val="BodyText"/>
      </w:pPr>
      <w:r>
        <w:t xml:space="preserve">Segmented Controls</w:t>
      </w:r>
    </w:p>
    <w:p>
      <w:pPr>
        <w:pStyle w:val="BodyText"/>
      </w:pPr>
      <w:r>
        <w:t xml:space="preserve">8px container radius. Internal selection highlight uses the same 8px radius. No pill-shaped 999px radius buttons. This rule is absolute.</w:t>
      </w:r>
    </w:p>
    <w:p>
      <w:pPr>
        <w:pStyle w:val="BodyText"/>
      </w:pPr>
      <w:r>
        <w:t xml:space="preserve">Shape Exclusions</w:t>
      </w:r>
    </w:p>
    <w:p>
      <w:pPr>
        <w:pStyle w:val="BodyText"/>
      </w:pPr>
      <w:r>
        <w:t xml:space="preserve">Fully rounded pill shapes are prohibited anywhere in the system. All interactive elements use the radius values defined above.</w:t>
      </w:r>
    </w:p>
    <w:p>
      <w:pPr>
        <w:pStyle w:val="BodyText"/>
      </w:pPr>
      <w:r>
        <w:t xml:space="preserve">15.8 Component Design System</w:t>
      </w:r>
    </w:p>
    <w:p>
      <w:pPr>
        <w:pStyle w:val="BodyText"/>
      </w:pPr>
      <w:r>
        <w:t xml:space="preserve">15.8.1 Buttons</w:t>
      </w:r>
    </w:p>
    <w:p>
      <w:pPr>
        <w:pStyle w:val="BodyText"/>
      </w:pPr>
      <w:r>
        <w:t xml:space="preserve">Primary CTA</w:t>
      </w:r>
    </w:p>
    <w:p>
      <w:pPr>
        <w:pStyle w:val="BodyText"/>
      </w:pPr>
      <w:r>
        <w:t xml:space="preserve">Filled button using color.primary.default background with high-contrast white text. Hover: color.primary.hover. Active: color.primary.active. Used for: Start Drill, End Practice, Save, Confirm.</w:t>
      </w:r>
    </w:p>
    <w:p>
      <w:pPr>
        <w:pStyle w:val="BodyText"/>
      </w:pPr>
      <w:r>
        <w:t xml:space="preserve">Secondary</w:t>
      </w:r>
    </w:p>
    <w:p>
      <w:pPr>
        <w:pStyle w:val="BodyText"/>
      </w:pPr>
      <w:r>
        <w:t xml:space="preserve">Outline button using 1px color.primary.default border with color.primary.default text. No fill. Used for: Cancel, Back, alternative actions.</w:t>
      </w:r>
    </w:p>
    <w:p>
      <w:pPr>
        <w:pStyle w:val="BodyText"/>
      </w:pPr>
      <w:r>
        <w:t xml:space="preserve">Destructive</w:t>
      </w:r>
    </w:p>
    <w:p>
      <w:pPr>
        <w:pStyle w:val="BodyText"/>
      </w:pPr>
      <w:r>
        <w:t xml:space="preserve">Filled button using color.error.destructive background with white text. Used only for irreversible deletion confirmations.</w:t>
      </w:r>
    </w:p>
    <w:p>
      <w:pPr>
        <w:pStyle w:val="BodyText"/>
      </w:pPr>
      <w:r>
        <w:t xml:space="preserve">Text Button</w:t>
      </w:r>
    </w:p>
    <w:p>
      <w:pPr>
        <w:pStyle w:val="BodyText"/>
      </w:pPr>
      <w:r>
        <w:t xml:space="preserve">No border, no fill. Colour inherits from context. Used for tertiary actions.</w:t>
      </w:r>
    </w:p>
    <w:p>
      <w:pPr>
        <w:pStyle w:val="BodyText"/>
      </w:pPr>
      <w:r>
        <w:t xml:space="preserve">15.8.2 Cards</w:t>
      </w:r>
    </w:p>
    <w:p>
      <w:pPr>
        <w:pStyle w:val="BodyText"/>
      </w:pPr>
      <w:r>
        <w:t xml:space="preserve">Background: surface.primary. Border: optional 1px surface.border. Corner radius: radius.card (8px). Internal padding: spacing.16. On press: surface darkens ~4%, no scale, no bounce.</w:t>
      </w:r>
    </w:p>
    <w:p>
      <w:pPr>
        <w:pStyle w:val="BodyText"/>
      </w:pPr>
      <w:r>
        <w:t xml:space="preserve">15.8.3 Grid Cells (Drill Entry)</w:t>
      </w:r>
    </w:p>
    <w:p>
      <w:pPr>
        <w:pStyle w:val="BodyText"/>
      </w:pPr>
      <w:r>
        <w:t xml:space="preserve">Corner radius: radius.grid (6px). Hit cell: color.success.default. Miss cell: color.neutral.miss. Tap feedback: brief colour flash (120ms), single haptic tick. No animation beyond 120ms colour fade. Target dimensions resolved per Instance and displayed before tap.</w:t>
      </w:r>
    </w:p>
    <w:p>
      <w:pPr>
        <w:pStyle w:val="BodyText"/>
      </w:pPr>
      <w:r>
        <w:t xml:space="preserve">15.8.4 Achievement Banners</w:t>
      </w:r>
    </w:p>
    <w:p>
      <w:pPr>
        <w:pStyle w:val="BodyText"/>
      </w:pPr>
      <w:r>
        <w:t xml:space="preserve">Background: surface.raised. Accent: color.primary.default (restrained, not dominant). Text: factual, not celebratory. Corner radius: radius.card (8px). Entry: fade in 150ms. Exit: fade out 200ms. No slide, no bounce, no scale, no glow pulses, no confetti, no streak fire. Subtle sound ping. Feels informational, not rewarding.</w:t>
      </w:r>
    </w:p>
    <w:p>
      <w:pPr>
        <w:pStyle w:val="BodyText"/>
      </w:pPr>
      <w:r>
        <w:t xml:space="preserve">15.8.5 Integrity Indicators</w:t>
      </w:r>
    </w:p>
    <w:p>
      <w:pPr>
        <w:pStyle w:val="BodyText"/>
      </w:pPr>
      <w:r>
        <w:t xml:space="preserve">Subtle warning icon at Session level using color.warning.integrity. Appears in Session summary (drill history) only. Does not appear in SkillScore views, score displays, Analysis trend charts, or Window Detail View entries. Carries no scoring connotation — data-quality signal only.</w:t>
      </w:r>
    </w:p>
    <w:p>
      <w:pPr>
        <w:pStyle w:val="BodyText"/>
      </w:pPr>
      <w:r>
        <w:t xml:space="preserve">15.9 Iconography</w:t>
      </w:r>
    </w:p>
    <w:p>
      <w:pPr>
        <w:pStyle w:val="BodyText"/>
      </w:pPr>
      <w:r>
        <w:t xml:space="preserve">Style</w:t>
      </w:r>
    </w:p>
    <w:p>
      <w:pPr>
        <w:pStyle w:val="BodyText"/>
      </w:pPr>
      <w:r>
        <w:t xml:space="preserve">Outlined, geometric, consistent stroke weight. Icons must match the Technical Geometric typeface tone — structured, not decorative or illustrative.</w:t>
      </w:r>
    </w:p>
    <w:p>
      <w:pPr>
        <w:pStyle w:val="BodyText"/>
      </w:pPr>
      <w:r>
        <w:t xml:space="preserve">Stroke Weight</w:t>
      </w:r>
    </w:p>
    <w:p>
      <w:pPr>
        <w:pStyle w:val="BodyText"/>
      </w:pPr>
      <w:r>
        <w:t xml:space="preserve">1.5–2px consistent stroke. No filled icons in navigation. Filled variants permitted only for active/selected states.</w:t>
      </w:r>
    </w:p>
    <w:p>
      <w:pPr>
        <w:pStyle w:val="BodyText"/>
      </w:pPr>
      <w:r>
        <w:t xml:space="preserve">Size Grid</w:t>
      </w:r>
    </w:p>
    <w:p>
      <w:pPr>
        <w:pStyle w:val="BodyText"/>
      </w:pPr>
      <w:r>
        <w:t xml:space="preserve">Icons follow the 4px base grid: 16px (micro), 20px (inline), 24px (standard navigation/action), 32px (prominent feature).</w:t>
      </w:r>
    </w:p>
    <w:p>
      <w:pPr>
        <w:pStyle w:val="BodyText"/>
      </w:pPr>
      <w:r>
        <w:t xml:space="preserve">Colour</w:t>
      </w:r>
    </w:p>
    <w:p>
      <w:pPr>
        <w:pStyle w:val="BodyText"/>
      </w:pPr>
      <w:r>
        <w:t xml:space="preserve">Default: off-white on dark surfaces. Active/selected: color.primary.default. Integrity: color.warning.integrity. Destructive: color.error.destructive.</w:t>
      </w:r>
    </w:p>
    <w:p>
      <w:pPr>
        <w:pStyle w:val="BodyText"/>
      </w:pPr>
      <w:r>
        <w:t xml:space="preserve">Exclusions</w:t>
      </w:r>
    </w:p>
    <w:p>
      <w:pPr>
        <w:pStyle w:val="BodyText"/>
      </w:pPr>
      <w:r>
        <w:t xml:space="preserve">No illustrative or pictorial icons. No golf-themed decorative icons (flags, balls, clubs as decoration). Icons are functional indicators only.</w:t>
      </w:r>
    </w:p>
    <w:p>
      <w:pPr>
        <w:pStyle w:val="BodyText"/>
      </w:pPr>
      <w:r>
        <w:t xml:space="preserve">15.10 Motion &amp; Microinteraction System</w:t>
      </w:r>
    </w:p>
    <w:p>
      <w:pPr>
        <w:pStyle w:val="BodyText"/>
      </w:pPr>
      <w:r>
        <w:t xml:space="preserve">Motion philosophy: minimalist with rare micro-feedback only. Everything feels controlled, deliberate, and instant. The system is nearly static.</w:t>
      </w:r>
    </w:p>
    <w:p>
      <w:pPr>
        <w:pStyle w:val="BodyText"/>
      </w:pPr>
      <w:r>
        <w:t xml:space="preserve">15.10.1 Timing Tokens</w:t>
      </w:r>
    </w:p>
    <w:tbl>
      <w:tblPr>
        <w:tblStyle w:val="Table"/>
        <w:tblW w:type="pct" w:w="4907"/>
        <w:tblLook w:firstRow="1" w:lastRow="0" w:firstColumn="0" w:lastColumn="0" w:noHBand="0" w:noVBand="0" w:val="0020"/>
        <w:jc w:val="start"/>
      </w:tblPr>
      <w:tblGrid>
        <w:gridCol w:w="1850"/>
        <w:gridCol w:w="1184"/>
        <w:gridCol w:w="4737"/>
      </w:tblGrid>
      <w:tr>
        <w:trPr>
          <w:tblHeader w:val="true"/>
        </w:trPr>
        <w:tc>
          <w:tcPr/>
          <w:p>
            <w:pPr>
              <w:pStyle w:val="Compact"/>
              <w:jc w:val="left"/>
            </w:pPr>
            <w:r>
              <w:t xml:space="preserve">Token</w:t>
            </w:r>
          </w:p>
        </w:tc>
        <w:tc>
          <w:tcPr/>
          <w:p>
            <w:pPr>
              <w:pStyle w:val="Compact"/>
              <w:jc w:val="left"/>
            </w:pPr>
            <w:r>
              <w:t xml:space="preserve">Value</w:t>
            </w:r>
          </w:p>
        </w:tc>
        <w:tc>
          <w:tcPr/>
          <w:p>
            <w:pPr>
              <w:pStyle w:val="Compact"/>
              <w:jc w:val="left"/>
            </w:pPr>
            <w:r>
              <w:t xml:space="preserve">Notes / Usage</w:t>
            </w:r>
          </w:p>
        </w:tc>
      </w:tr>
      <w:tr>
        <w:tc>
          <w:tcPr/>
          <w:p>
            <w:pPr>
              <w:pStyle w:val="Compact"/>
              <w:jc w:val="left"/>
            </w:pPr>
            <w:r>
              <w:t xml:space="preserve">motion.fast</w:t>
            </w:r>
          </w:p>
        </w:tc>
        <w:tc>
          <w:tcPr/>
          <w:p>
            <w:pPr>
              <w:pStyle w:val="Compact"/>
              <w:jc w:val="left"/>
            </w:pPr>
            <w:r>
              <w:t xml:space="preserve">120ms</w:t>
            </w:r>
          </w:p>
        </w:tc>
        <w:tc>
          <w:tcPr/>
          <w:p>
            <w:pPr>
              <w:pStyle w:val="Compact"/>
              <w:jc w:val="left"/>
            </w:pPr>
            <w:r>
              <w:t xml:space="preserve">Micro state changes — button press, grid tap colour flash</w:t>
            </w:r>
          </w:p>
        </w:tc>
      </w:tr>
      <w:tr>
        <w:tc>
          <w:tcPr/>
          <w:p>
            <w:pPr>
              <w:pStyle w:val="Compact"/>
              <w:jc w:val="left"/>
            </w:pPr>
            <w:r>
              <w:t xml:space="preserve">motion.standard</w:t>
            </w:r>
          </w:p>
        </w:tc>
        <w:tc>
          <w:tcPr/>
          <w:p>
            <w:pPr>
              <w:pStyle w:val="Compact"/>
              <w:jc w:val="left"/>
            </w:pPr>
            <w:r>
              <w:t xml:space="preserve">150ms</w:t>
            </w:r>
          </w:p>
        </w:tc>
        <w:tc>
          <w:tcPr/>
          <w:p>
            <w:pPr>
              <w:pStyle w:val="Compact"/>
              <w:jc w:val="left"/>
            </w:pPr>
            <w:r>
              <w:t xml:space="preserve">Standard transitions — fade in, accordion expand</w:t>
            </w:r>
          </w:p>
        </w:tc>
      </w:tr>
      <w:tr>
        <w:tc>
          <w:tcPr/>
          <w:p>
            <w:pPr>
              <w:pStyle w:val="Compact"/>
              <w:jc w:val="left"/>
            </w:pPr>
            <w:r>
              <w:t xml:space="preserve">motion.slow</w:t>
            </w:r>
          </w:p>
        </w:tc>
        <w:tc>
          <w:tcPr/>
          <w:p>
            <w:pPr>
              <w:pStyle w:val="Compact"/>
              <w:jc w:val="left"/>
            </w:pPr>
            <w:r>
              <w:t xml:space="preserve">200ms</w:t>
            </w:r>
          </w:p>
        </w:tc>
        <w:tc>
          <w:tcPr/>
          <w:p>
            <w:pPr>
              <w:pStyle w:val="Compact"/>
              <w:jc w:val="left"/>
            </w:pPr>
            <w:r>
              <w:t xml:space="preserve">Maximum permitted duration — achievement banner fade out only</w:t>
            </w:r>
          </w:p>
        </w:tc>
      </w:tr>
    </w:tbl>
    <w:p>
      <w:pPr>
        <w:pStyle w:val="BodyText"/>
      </w:pPr>
      <w:r>
        <w:t xml:space="preserve">Easing: ease-in-out cubic only. No transitions exceed 200ms anywhere in the system.</w:t>
      </w:r>
    </w:p>
    <w:p>
      <w:pPr>
        <w:pStyle w:val="BodyText"/>
      </w:pPr>
      <w:r>
        <w:t xml:space="preserve">15.10.2 Permitted Motion</w:t>
      </w:r>
    </w:p>
    <w:tbl>
      <w:tblPr>
        <w:tblStyle w:val="Table"/>
        <w:tblW w:type="pct" w:w="4909"/>
        <w:tblLook w:firstRow="1" w:lastRow="0" w:firstColumn="0" w:lastColumn="0" w:noHBand="0" w:noVBand="0" w:val="0020"/>
        <w:jc w:val="start"/>
      </w:tblPr>
      <w:tblGrid>
        <w:gridCol w:w="1944"/>
        <w:gridCol w:w="5832"/>
      </w:tblGrid>
      <w:tr>
        <w:trPr>
          <w:tblHeader w:val="true"/>
        </w:trPr>
        <w:tc>
          <w:tcPr/>
          <w:p>
            <w:pPr>
              <w:pStyle w:val="Compact"/>
              <w:jc w:val="left"/>
            </w:pPr>
            <w:r>
              <w:t xml:space="preserve">Interaction</w:t>
            </w:r>
          </w:p>
        </w:tc>
        <w:tc>
          <w:tcPr/>
          <w:p>
            <w:pPr>
              <w:pStyle w:val="Compact"/>
              <w:jc w:val="left"/>
            </w:pPr>
            <w:r>
              <w:t xml:space="preserve">Behaviour</w:t>
            </w:r>
          </w:p>
        </w:tc>
      </w:tr>
      <w:tr>
        <w:tc>
          <w:tcPr/>
          <w:p>
            <w:pPr>
              <w:pStyle w:val="Compact"/>
              <w:jc w:val="left"/>
            </w:pPr>
            <w:r>
              <w:t xml:space="preserve">Button press</w:t>
            </w:r>
          </w:p>
        </w:tc>
        <w:tc>
          <w:tcPr/>
          <w:p>
            <w:pPr>
              <w:pStyle w:val="Compact"/>
              <w:jc w:val="left"/>
            </w:pPr>
            <w:r>
              <w:t xml:space="preserve">Slight darken + elevation drop. 120ms. No scaling.</w:t>
            </w:r>
          </w:p>
        </w:tc>
      </w:tr>
      <w:tr>
        <w:tc>
          <w:tcPr/>
          <w:p>
            <w:pPr>
              <w:pStyle w:val="Compact"/>
              <w:jc w:val="left"/>
            </w:pPr>
            <w:r>
              <w:t xml:space="preserve">Grid tap (Drill Entry)</w:t>
            </w:r>
          </w:p>
        </w:tc>
        <w:tc>
          <w:tcPr/>
          <w:p>
            <w:pPr>
              <w:pStyle w:val="Compact"/>
              <w:jc w:val="left"/>
            </w:pPr>
            <w:r>
              <w:t xml:space="preserve">Brief colour flash 120ms. Single haptic tick. No animation beyond colour fade.</w:t>
            </w:r>
          </w:p>
        </w:tc>
      </w:tr>
      <w:tr>
        <w:tc>
          <w:tcPr/>
          <w:p>
            <w:pPr>
              <w:pStyle w:val="Compact"/>
              <w:jc w:val="left"/>
            </w:pPr>
            <w:r>
              <w:t xml:space="preserve">Achievement banner</w:t>
            </w:r>
          </w:p>
        </w:tc>
        <w:tc>
          <w:tcPr/>
          <w:p>
            <w:pPr>
              <w:pStyle w:val="Compact"/>
              <w:jc w:val="left"/>
            </w:pPr>
            <w:r>
              <w:t xml:space="preserve">Fade in 150ms. Fade out 200ms. No slide, no bounce. Subtle sound ping.</w:t>
            </w:r>
          </w:p>
        </w:tc>
      </w:tr>
      <w:tr>
        <w:tc>
          <w:tcPr/>
          <w:p>
            <w:pPr>
              <w:pStyle w:val="Compact"/>
              <w:jc w:val="left"/>
            </w:pPr>
            <w:r>
              <w:t xml:space="preserve">Heatmap accordion expand</w:t>
            </w:r>
          </w:p>
        </w:tc>
        <w:tc>
          <w:tcPr/>
          <w:p>
            <w:pPr>
              <w:pStyle w:val="Compact"/>
              <w:jc w:val="left"/>
            </w:pPr>
            <w:r>
              <w:t xml:space="preserve">Height transition 150ms. No overshoot. No bounce. Structural, not playful.</w:t>
            </w:r>
          </w:p>
        </w:tc>
      </w:tr>
      <w:tr>
        <w:tc>
          <w:tcPr/>
          <w:p>
            <w:pPr>
              <w:pStyle w:val="Compact"/>
              <w:jc w:val="left"/>
            </w:pPr>
            <w:r>
              <w:t xml:space="preserve">Surface press</w:t>
            </w:r>
          </w:p>
        </w:tc>
        <w:tc>
          <w:tcPr/>
          <w:p>
            <w:pPr>
              <w:pStyle w:val="Compact"/>
              <w:jc w:val="left"/>
            </w:pPr>
            <w:r>
              <w:t xml:space="preserve">Darken ~4%. No scale. No bounce.</w:t>
            </w:r>
          </w:p>
        </w:tc>
      </w:tr>
    </w:tbl>
    <w:p>
      <w:pPr>
        <w:pStyle w:val="BodyText"/>
      </w:pPr>
      <w:r>
        <w:t xml:space="preserve">15.10.3 Haptics &amp; Audio</w:t>
      </w:r>
    </w:p>
    <w:p>
      <w:pPr>
        <w:pStyle w:val="BodyText"/>
      </w:pPr>
      <w:r>
        <w:t xml:space="preserve">Default mode: silent. Haptic tick on grid cell tap. Subtle sound ping on achievement banners only. No other audio or haptic feedback in the system.</w:t>
      </w:r>
    </w:p>
    <w:p>
      <w:pPr>
        <w:pStyle w:val="BodyText"/>
      </w:pPr>
      <w:r>
        <w:t xml:space="preserve">15.10.4 Motion Prohibition List</w:t>
      </w:r>
    </w:p>
    <w:p>
      <w:pPr>
        <w:pStyle w:val="BodyText"/>
      </w:pPr>
      <w:r>
        <w:t xml:space="preserve">The following are explicitly prohibited across the entire system:</w:t>
      </w:r>
    </w:p>
    <w:tbl>
      <w:tblPr>
        <w:tblStyle w:val="Table"/>
        <w:tblW w:type="pct" w:w="4865"/>
        <w:tblLook w:firstRow="1" w:lastRow="0" w:firstColumn="0" w:lastColumn="0" w:noHBand="0" w:noVBand="0" w:val="0020"/>
        <w:jc w:val="start"/>
      </w:tblPr>
      <w:tblGrid>
        <w:gridCol w:w="4067"/>
        <w:gridCol w:w="3638"/>
      </w:tblGrid>
      <w:tr>
        <w:trPr>
          <w:tblHeader w:val="true"/>
        </w:trPr>
        <w:tc>
          <w:tcPr/>
          <w:p>
            <w:pPr>
              <w:pStyle w:val="Compact"/>
              <w:jc w:val="left"/>
            </w:pPr>
            <w:r>
              <w:t xml:space="preserve">Effect</w:t>
            </w:r>
          </w:p>
        </w:tc>
        <w:tc>
          <w:tcPr/>
          <w:p>
            <w:pPr>
              <w:pStyle w:val="Compact"/>
              <w:jc w:val="left"/>
            </w:pPr>
            <w:r>
              <w:t xml:space="preserve">Status</w:t>
            </w:r>
          </w:p>
        </w:tc>
      </w:tr>
      <w:tr>
        <w:tc>
          <w:tcPr/>
          <w:p>
            <w:pPr>
              <w:pStyle w:val="Compact"/>
              <w:jc w:val="left"/>
            </w:pPr>
            <w:r>
              <w:t xml:space="preserve">Bounce / spring physics</w:t>
            </w:r>
          </w:p>
        </w:tc>
        <w:tc>
          <w:tcPr/>
          <w:p>
            <w:pPr>
              <w:pStyle w:val="Compact"/>
              <w:jc w:val="left"/>
            </w:pPr>
            <w:r>
              <w:t xml:space="preserve">Prohibited</w:t>
            </w:r>
          </w:p>
        </w:tc>
      </w:tr>
      <w:tr>
        <w:tc>
          <w:tcPr/>
          <w:p>
            <w:pPr>
              <w:pStyle w:val="Compact"/>
              <w:jc w:val="left"/>
            </w:pPr>
            <w:r>
              <w:t xml:space="preserve">Elastic overscroll theatrics</w:t>
            </w:r>
          </w:p>
        </w:tc>
        <w:tc>
          <w:tcPr/>
          <w:p>
            <w:pPr>
              <w:pStyle w:val="Compact"/>
              <w:jc w:val="left"/>
            </w:pPr>
            <w:r>
              <w:t xml:space="preserve">Prohibited</w:t>
            </w:r>
          </w:p>
        </w:tc>
      </w:tr>
      <w:tr>
        <w:tc>
          <w:tcPr/>
          <w:p>
            <w:pPr>
              <w:pStyle w:val="Compact"/>
              <w:jc w:val="left"/>
            </w:pPr>
            <w:r>
              <w:t xml:space="preserve">Confetti</w:t>
            </w:r>
          </w:p>
        </w:tc>
        <w:tc>
          <w:tcPr/>
          <w:p>
            <w:pPr>
              <w:pStyle w:val="Compact"/>
              <w:jc w:val="left"/>
            </w:pPr>
            <w:r>
              <w:t xml:space="preserve">Prohibited</w:t>
            </w:r>
          </w:p>
        </w:tc>
      </w:tr>
      <w:tr>
        <w:tc>
          <w:tcPr/>
          <w:p>
            <w:pPr>
              <w:pStyle w:val="Compact"/>
              <w:jc w:val="left"/>
            </w:pPr>
            <w:r>
              <w:t xml:space="preserve">Score pop animations</w:t>
            </w:r>
          </w:p>
        </w:tc>
        <w:tc>
          <w:tcPr/>
          <w:p>
            <w:pPr>
              <w:pStyle w:val="Compact"/>
              <w:jc w:val="left"/>
            </w:pPr>
            <w:r>
              <w:t xml:space="preserve">Prohibited</w:t>
            </w:r>
          </w:p>
        </w:tc>
      </w:tr>
      <w:tr>
        <w:tc>
          <w:tcPr/>
          <w:p>
            <w:pPr>
              <w:pStyle w:val="Compact"/>
              <w:jc w:val="left"/>
            </w:pPr>
            <w:r>
              <w:t xml:space="preserve">Animated counters / counting up</w:t>
            </w:r>
          </w:p>
        </w:tc>
        <w:tc>
          <w:tcPr/>
          <w:p>
            <w:pPr>
              <w:pStyle w:val="Compact"/>
              <w:jc w:val="left"/>
            </w:pPr>
            <w:r>
              <w:t xml:space="preserve">Prohibited</w:t>
            </w:r>
          </w:p>
        </w:tc>
      </w:tr>
      <w:tr>
        <w:tc>
          <w:tcPr/>
          <w:p>
            <w:pPr>
              <w:pStyle w:val="Compact"/>
              <w:jc w:val="left"/>
            </w:pPr>
            <w:r>
              <w:t xml:space="preserve">Pulsing CTA buttons</w:t>
            </w:r>
          </w:p>
        </w:tc>
        <w:tc>
          <w:tcPr/>
          <w:p>
            <w:pPr>
              <w:pStyle w:val="Compact"/>
              <w:jc w:val="left"/>
            </w:pPr>
            <w:r>
              <w:t xml:space="preserve">Prohibited</w:t>
            </w:r>
          </w:p>
        </w:tc>
      </w:tr>
      <w:tr>
        <w:tc>
          <w:tcPr/>
          <w:p>
            <w:pPr>
              <w:pStyle w:val="Compact"/>
              <w:jc w:val="left"/>
            </w:pPr>
            <w:r>
              <w:t xml:space="preserve">“</w:t>
            </w:r>
            <w:r>
              <w:t xml:space="preserve">Level up</w:t>
            </w:r>
            <w:r>
              <w:t xml:space="preserve">”</w:t>
            </w:r>
            <w:r>
              <w:t xml:space="preserve"> </w:t>
            </w:r>
            <w:r>
              <w:t xml:space="preserve">effects</w:t>
            </w:r>
          </w:p>
        </w:tc>
        <w:tc>
          <w:tcPr/>
          <w:p>
            <w:pPr>
              <w:pStyle w:val="Compact"/>
              <w:jc w:val="left"/>
            </w:pPr>
            <w:r>
              <w:t xml:space="preserve">Prohibited</w:t>
            </w:r>
          </w:p>
        </w:tc>
      </w:tr>
      <w:tr>
        <w:tc>
          <w:tcPr/>
          <w:p>
            <w:pPr>
              <w:pStyle w:val="Compact"/>
              <w:jc w:val="left"/>
            </w:pPr>
            <w:r>
              <w:t xml:space="preserve">Sliding celebration panels</w:t>
            </w:r>
          </w:p>
        </w:tc>
        <w:tc>
          <w:tcPr/>
          <w:p>
            <w:pPr>
              <w:pStyle w:val="Compact"/>
              <w:jc w:val="left"/>
            </w:pPr>
            <w:r>
              <w:t xml:space="preserve">Prohibited</w:t>
            </w:r>
          </w:p>
        </w:tc>
      </w:tr>
      <w:tr>
        <w:tc>
          <w:tcPr/>
          <w:p>
            <w:pPr>
              <w:pStyle w:val="Compact"/>
              <w:jc w:val="left"/>
            </w:pPr>
            <w:r>
              <w:t xml:space="preserve">Streak fire effects</w:t>
            </w:r>
          </w:p>
        </w:tc>
        <w:tc>
          <w:tcPr/>
          <w:p>
            <w:pPr>
              <w:pStyle w:val="Compact"/>
              <w:jc w:val="left"/>
            </w:pPr>
            <w:r>
              <w:t xml:space="preserve">Prohibited</w:t>
            </w:r>
          </w:p>
        </w:tc>
      </w:tr>
      <w:tr>
        <w:tc>
          <w:tcPr/>
          <w:p>
            <w:pPr>
              <w:pStyle w:val="Compact"/>
              <w:jc w:val="left"/>
            </w:pPr>
            <w:r>
              <w:t xml:space="preserve">Glow pulses</w:t>
            </w:r>
          </w:p>
        </w:tc>
        <w:tc>
          <w:tcPr/>
          <w:p>
            <w:pPr>
              <w:pStyle w:val="Compact"/>
              <w:jc w:val="left"/>
            </w:pPr>
            <w:r>
              <w:t xml:space="preserve">Prohibited</w:t>
            </w:r>
          </w:p>
        </w:tc>
      </w:tr>
      <w:tr>
        <w:tc>
          <w:tcPr/>
          <w:p>
            <w:pPr>
              <w:pStyle w:val="Compact"/>
              <w:jc w:val="left"/>
            </w:pPr>
            <w:r>
              <w:t xml:space="preserve">Celebratory scale pulses</w:t>
            </w:r>
          </w:p>
        </w:tc>
        <w:tc>
          <w:tcPr/>
          <w:p>
            <w:pPr>
              <w:pStyle w:val="Compact"/>
              <w:jc w:val="left"/>
            </w:pPr>
            <w:r>
              <w:t xml:space="preserve">Prohibited</w:t>
            </w:r>
          </w:p>
        </w:tc>
      </w:tr>
      <w:tr>
        <w:tc>
          <w:tcPr/>
          <w:p>
            <w:pPr>
              <w:pStyle w:val="Compact"/>
              <w:jc w:val="left"/>
            </w:pPr>
            <w:r>
              <w:t xml:space="preserve">Sliding tab theatrics</w:t>
            </w:r>
          </w:p>
        </w:tc>
        <w:tc>
          <w:tcPr/>
          <w:p>
            <w:pPr>
              <w:pStyle w:val="Compact"/>
              <w:jc w:val="left"/>
            </w:pPr>
            <w:r>
              <w:t xml:space="preserve">Prohibited</w:t>
            </w:r>
          </w:p>
        </w:tc>
      </w:tr>
    </w:tbl>
    <w:p>
      <w:pPr>
        <w:pStyle w:val="BodyText"/>
      </w:pPr>
      <w:r>
        <w:t xml:space="preserve">15.11 Plan / Track / Review Visual Governance</w:t>
      </w:r>
    </w:p>
    <w:p>
      <w:pPr>
        <w:pStyle w:val="BodyText"/>
      </w:pPr>
      <w:r>
        <w:t xml:space="preserve">Rule: Full Visual Unification</w:t>
      </w:r>
    </w:p>
    <w:p>
      <w:pPr>
        <w:pStyle w:val="BodyText"/>
      </w:pPr>
      <w:r>
        <w:t xml:space="preserve">Plan, Track, and Review are structurally distinct domains (Section 12) but must feel like one continuous analytical environment. There are no domain colour shifts, no per-domain tints, no accent shifts per domain.</w:t>
      </w:r>
    </w:p>
    <w:p>
      <w:pPr>
        <w:pStyle w:val="BodyText"/>
      </w:pPr>
      <w:r>
        <w:t xml:space="preserve">What Is Identical Across All Domains</w:t>
      </w:r>
    </w:p>
    <w:p>
      <w:pPr>
        <w:pStyle w:val="BodyText"/>
      </w:pPr>
      <w:r>
        <w:t xml:space="preserve">Same charcoal base everywhere. Same cyan interaction accent. Same semantic green for performance. Same grey neutral for miss. Same amber for integrity. Same red for destructive. Same surface hierarchy. Same typography. Same spacing grid.</w:t>
      </w:r>
    </w:p>
    <w:p>
      <w:pPr>
        <w:pStyle w:val="BodyText"/>
      </w:pPr>
      <w:r>
        <w:t xml:space="preserve">Differentiation Mechanism: Structural Only</w:t>
      </w:r>
    </w:p>
    <w:tbl>
      <w:tblPr>
        <w:tblStyle w:val="Table"/>
        <w:tblW w:type="pct" w:w="4944"/>
        <w:tblLook w:firstRow="1" w:lastRow="0" w:firstColumn="0" w:lastColumn="0" w:noHBand="0" w:noVBand="0" w:val="0020"/>
        <w:jc w:val="start"/>
      </w:tblPr>
      <w:tblGrid>
        <w:gridCol w:w="1023"/>
        <w:gridCol w:w="6807"/>
      </w:tblGrid>
      <w:tr>
        <w:trPr>
          <w:tblHeader w:val="true"/>
        </w:trPr>
        <w:tc>
          <w:tcPr/>
          <w:p>
            <w:pPr>
              <w:pStyle w:val="Compact"/>
              <w:jc w:val="left"/>
            </w:pPr>
            <w:r>
              <w:t xml:space="preserve">Mechanism</w:t>
            </w:r>
          </w:p>
        </w:tc>
        <w:tc>
          <w:tcPr/>
          <w:p>
            <w:pPr>
              <w:pStyle w:val="Compact"/>
              <w:jc w:val="left"/>
            </w:pPr>
            <w:r>
              <w:t xml:space="preserve">Implementation</w:t>
            </w:r>
          </w:p>
        </w:tc>
      </w:tr>
      <w:tr>
        <w:tc>
          <w:tcPr/>
          <w:p>
            <w:pPr>
              <w:pStyle w:val="Compact"/>
              <w:jc w:val="left"/>
            </w:pPr>
            <w:r>
              <w:t xml:space="preserve">Information Density</w:t>
            </w:r>
          </w:p>
        </w:tc>
        <w:tc>
          <w:tcPr/>
          <w:p>
            <w:pPr>
              <w:pStyle w:val="Compact"/>
              <w:jc w:val="left"/>
            </w:pPr>
            <w:r>
              <w:t xml:space="preserve">Plan: more spacing, calendar geometry, slot blocks. Track: library grouping, collapsible Skill Areas. Review: heatmap grid, charts, numeric dominance.</w:t>
            </w:r>
          </w:p>
        </w:tc>
      </w:tr>
      <w:tr>
        <w:tc>
          <w:tcPr/>
          <w:p>
            <w:pPr>
              <w:pStyle w:val="Compact"/>
              <w:jc w:val="left"/>
            </w:pPr>
            <w:r>
              <w:t xml:space="preserve">Interaction Patterns</w:t>
            </w:r>
          </w:p>
        </w:tc>
        <w:tc>
          <w:tcPr/>
          <w:p>
            <w:pPr>
              <w:pStyle w:val="Compact"/>
              <w:jc w:val="left"/>
            </w:pPr>
            <w:r>
              <w:t xml:space="preserve">Plan: drag-and-drop emphasis. Track: expand/collapse library. Review: tap-to-expand heatmap, filter-driven charts.</w:t>
            </w:r>
          </w:p>
        </w:tc>
      </w:tr>
      <w:tr>
        <w:tc>
          <w:tcPr/>
          <w:p>
            <w:pPr>
              <w:pStyle w:val="Compact"/>
              <w:jc w:val="left"/>
            </w:pPr>
            <w:r>
              <w:t xml:space="preserve">Emphasis Hierarchy</w:t>
            </w:r>
          </w:p>
        </w:tc>
        <w:tc>
          <w:tcPr/>
          <w:p>
            <w:pPr>
              <w:pStyle w:val="Compact"/>
              <w:jc w:val="left"/>
            </w:pPr>
            <w:r>
              <w:t xml:space="preserve">Home: action emphasis. Live Practice: execution emphasis. Review: numeric + analytic emphasis.</w:t>
            </w:r>
          </w:p>
        </w:tc>
      </w:tr>
    </w:tbl>
    <w:p>
      <w:pPr>
        <w:pStyle w:val="BodyText"/>
      </w:pPr>
      <w:r>
        <w:t xml:space="preserve">Visual language remains constant — layout does the work. This avoids</w:t>
      </w:r>
      <w:r>
        <w:t xml:space="preserve"> </w:t>
      </w:r>
      <w:r>
        <w:t xml:space="preserve">“</w:t>
      </w:r>
      <w:r>
        <w:t xml:space="preserve">section personality drift</w:t>
      </w:r>
      <w:r>
        <w:t xml:space="preserve">”</w:t>
      </w:r>
      <w:r>
        <w:t xml:space="preserve"> </w:t>
      </w:r>
      <w:r>
        <w:t xml:space="preserve">and reinforces the system as one coherent performance tool.</w:t>
      </w:r>
    </w:p>
    <w:p>
      <w:pPr>
        <w:pStyle w:val="BodyText"/>
      </w:pPr>
      <w:r>
        <w:t xml:space="preserve">15.12 Logo &amp; Brand Expression</w:t>
      </w:r>
    </w:p>
    <w:p>
      <w:pPr>
        <w:pStyle w:val="BodyText"/>
      </w:pPr>
      <w:r>
        <w:t xml:space="preserve">Expression Level</w:t>
      </w:r>
    </w:p>
    <w:p>
      <w:pPr>
        <w:pStyle w:val="BodyText"/>
      </w:pPr>
      <w:r>
        <w:t xml:space="preserve">Minimal typographic wordmark only. No symbol, no golf-referential mark (flag, ball, target), no emblem, no crest, no shield, no badge.</w:t>
      </w:r>
    </w:p>
    <w:p>
      <w:pPr>
        <w:pStyle w:val="BodyText"/>
      </w:pPr>
      <w:r>
        <w:t xml:space="preserve">Rationale</w:t>
      </w:r>
    </w:p>
    <w:p>
      <w:pPr>
        <w:pStyle w:val="BodyText"/>
      </w:pPr>
      <w:r>
        <w:t xml:space="preserve">Keeps the system analytical and software-grade. Avoids anchoring the product to golf-specific aesthetic. Preserves expansion optionality. Consistent with performance-focused, not sports-branded, positioning.</w:t>
      </w:r>
    </w:p>
    <w:p>
      <w:pPr>
        <w:pStyle w:val="BodyText"/>
      </w:pPr>
      <w:r>
        <w:t xml:space="preserve">Product Title Governance</w:t>
      </w:r>
    </w:p>
    <w:p>
      <w:pPr>
        <w:pStyle w:val="BodyText"/>
      </w:pPr>
      <w:r>
        <w:t xml:space="preserve">The current product title is a working title and is not final. The title must not appear in:</w:t>
      </w:r>
    </w:p>
    <w:tbl>
      <w:tblPr>
        <w:tblStyle w:val="Table"/>
        <w:tblW w:type="pct" w:w="4865"/>
        <w:tblLook w:firstRow="1" w:lastRow="0" w:firstColumn="0" w:lastColumn="0" w:noHBand="0" w:noVBand="0" w:val="0020"/>
        <w:jc w:val="start"/>
      </w:tblPr>
      <w:tblGrid>
        <w:gridCol w:w="4067"/>
        <w:gridCol w:w="3638"/>
      </w:tblGrid>
      <w:tr>
        <w:trPr>
          <w:tblHeader w:val="true"/>
        </w:trPr>
        <w:tc>
          <w:tcPr/>
          <w:p>
            <w:pPr>
              <w:pStyle w:val="Compact"/>
              <w:jc w:val="left"/>
            </w:pPr>
            <w:r>
              <w:t xml:space="preserve">Location</w:t>
            </w:r>
          </w:p>
        </w:tc>
        <w:tc>
          <w:tcPr/>
          <w:p>
            <w:pPr>
              <w:pStyle w:val="Compact"/>
              <w:jc w:val="left"/>
            </w:pPr>
            <w:r>
              <w:t xml:space="preserve">Status</w:t>
            </w:r>
          </w:p>
        </w:tc>
      </w:tr>
      <w:tr>
        <w:tc>
          <w:tcPr/>
          <w:p>
            <w:pPr>
              <w:pStyle w:val="Compact"/>
              <w:jc w:val="left"/>
            </w:pPr>
            <w:r>
              <w:t xml:space="preserve">Core file names</w:t>
            </w:r>
          </w:p>
        </w:tc>
        <w:tc>
          <w:tcPr/>
          <w:p>
            <w:pPr>
              <w:pStyle w:val="Compact"/>
              <w:jc w:val="left"/>
            </w:pPr>
            <w:r>
              <w:t xml:space="preserve">Prohibited</w:t>
            </w:r>
          </w:p>
        </w:tc>
      </w:tr>
      <w:tr>
        <w:tc>
          <w:tcPr/>
          <w:p>
            <w:pPr>
              <w:pStyle w:val="Compact"/>
              <w:jc w:val="left"/>
            </w:pPr>
            <w:r>
              <w:t xml:space="preserve">Environment variables</w:t>
            </w:r>
          </w:p>
        </w:tc>
        <w:tc>
          <w:tcPr/>
          <w:p>
            <w:pPr>
              <w:pStyle w:val="Compact"/>
              <w:jc w:val="left"/>
            </w:pPr>
            <w:r>
              <w:t xml:space="preserve">Prohibited</w:t>
            </w:r>
          </w:p>
        </w:tc>
      </w:tr>
      <w:tr>
        <w:tc>
          <w:tcPr/>
          <w:p>
            <w:pPr>
              <w:pStyle w:val="Compact"/>
              <w:jc w:val="left"/>
            </w:pPr>
            <w:r>
              <w:t xml:space="preserve">Database schemas</w:t>
            </w:r>
          </w:p>
        </w:tc>
        <w:tc>
          <w:tcPr/>
          <w:p>
            <w:pPr>
              <w:pStyle w:val="Compact"/>
              <w:jc w:val="left"/>
            </w:pPr>
            <w:r>
              <w:t xml:space="preserve">Prohibited</w:t>
            </w:r>
          </w:p>
        </w:tc>
      </w:tr>
      <w:tr>
        <w:tc>
          <w:tcPr/>
          <w:p>
            <w:pPr>
              <w:pStyle w:val="Compact"/>
              <w:jc w:val="left"/>
            </w:pPr>
            <w:r>
              <w:t xml:space="preserve">Namespaces</w:t>
            </w:r>
          </w:p>
        </w:tc>
        <w:tc>
          <w:tcPr/>
          <w:p>
            <w:pPr>
              <w:pStyle w:val="Compact"/>
              <w:jc w:val="left"/>
            </w:pPr>
            <w:r>
              <w:t xml:space="preserve">Prohibited</w:t>
            </w:r>
          </w:p>
        </w:tc>
      </w:tr>
      <w:tr>
        <w:tc>
          <w:tcPr/>
          <w:p>
            <w:pPr>
              <w:pStyle w:val="Compact"/>
              <w:jc w:val="left"/>
            </w:pPr>
            <w:r>
              <w:t xml:space="preserve">Token systems</w:t>
            </w:r>
          </w:p>
        </w:tc>
        <w:tc>
          <w:tcPr/>
          <w:p>
            <w:pPr>
              <w:pStyle w:val="Compact"/>
              <w:jc w:val="left"/>
            </w:pPr>
            <w:r>
              <w:t xml:space="preserve">Prohibited</w:t>
            </w:r>
          </w:p>
        </w:tc>
      </w:tr>
      <w:tr>
        <w:tc>
          <w:tcPr/>
          <w:p>
            <w:pPr>
              <w:pStyle w:val="Compact"/>
              <w:jc w:val="left"/>
            </w:pPr>
            <w:r>
              <w:t xml:space="preserve">Constants</w:t>
            </w:r>
          </w:p>
        </w:tc>
        <w:tc>
          <w:tcPr/>
          <w:p>
            <w:pPr>
              <w:pStyle w:val="Compact"/>
              <w:jc w:val="left"/>
            </w:pPr>
            <w:r>
              <w:t xml:space="preserve">Prohibited</w:t>
            </w:r>
          </w:p>
        </w:tc>
      </w:tr>
      <w:tr>
        <w:tc>
          <w:tcPr/>
          <w:p>
            <w:pPr>
              <w:pStyle w:val="Compact"/>
              <w:jc w:val="left"/>
            </w:pPr>
            <w:r>
              <w:t xml:space="preserve">Design system identifiers</w:t>
            </w:r>
          </w:p>
        </w:tc>
        <w:tc>
          <w:tcPr/>
          <w:p>
            <w:pPr>
              <w:pStyle w:val="Compact"/>
              <w:jc w:val="left"/>
            </w:pPr>
            <w:r>
              <w:t xml:space="preserve">Prohibited</w:t>
            </w:r>
          </w:p>
        </w:tc>
      </w:tr>
    </w:tbl>
    <w:p>
      <w:pPr>
        <w:pStyle w:val="BodyText"/>
      </w:pPr>
      <w:r>
        <w:t xml:space="preserve">Use neutral system identifiers only: app, core, practice_engine, scoring_engine, ui_system, design_tokens, practice_block, skill_area, etc. This ensures a future rebrand requires only a wordmark swap with no refactor, no migration, no schema rewrite, no token rename cascade, and no analytics rename.</w:t>
      </w:r>
    </w:p>
    <w:p>
      <w:pPr>
        <w:pStyle w:val="BodyText"/>
      </w:pPr>
      <w:r>
        <w:t xml:space="preserve">15.13 Accessibility Standards</w:t>
      </w:r>
    </w:p>
    <w:p>
      <w:pPr>
        <w:pStyle w:val="BodyText"/>
      </w:pPr>
      <w:r>
        <w:t xml:space="preserve">Global Minimum: WCAG AA</w:t>
      </w:r>
    </w:p>
    <w:p>
      <w:pPr>
        <w:pStyle w:val="BodyText"/>
      </w:pPr>
      <w:r>
        <w:t xml:space="preserve">All body text, interactive text, numeric score displays, filter labels, drill metadata, and calendar labels meet WCAG AA minimum contrast: 4.5:1 for normal text, 3:1 for large text.</w:t>
      </w:r>
    </w:p>
    <w:p>
      <w:pPr>
        <w:pStyle w:val="BodyText"/>
      </w:pPr>
      <w:r>
        <w:t xml:space="preserve">Selective AAA Surfaces</w:t>
      </w:r>
    </w:p>
    <w:p>
      <w:pPr>
        <w:pStyle w:val="BodyText"/>
      </w:pPr>
      <w:r>
        <w:t xml:space="preserve">WCAG AAA (7:1 contrast) is required on the following cognitively critical surfaces:</w:t>
      </w:r>
    </w:p>
    <w:tbl>
      <w:tblPr>
        <w:tblStyle w:val="Table"/>
        <w:tblW w:type="pct" w:w="4880"/>
        <w:tblLook w:firstRow="1" w:lastRow="0" w:firstColumn="0" w:lastColumn="0" w:noHBand="0" w:noVBand="0" w:val="0020"/>
        <w:jc w:val="start"/>
      </w:tblPr>
      <w:tblGrid>
        <w:gridCol w:w="4961"/>
        <w:gridCol w:w="2767"/>
      </w:tblGrid>
      <w:tr>
        <w:trPr>
          <w:tblHeader w:val="true"/>
        </w:trPr>
        <w:tc>
          <w:tcPr/>
          <w:p>
            <w:pPr>
              <w:pStyle w:val="Compact"/>
              <w:jc w:val="left"/>
            </w:pPr>
            <w:r>
              <w:t xml:space="preserve">Surface</w:t>
            </w:r>
          </w:p>
        </w:tc>
        <w:tc>
          <w:tcPr/>
          <w:p>
            <w:pPr>
              <w:pStyle w:val="Compact"/>
              <w:jc w:val="left"/>
            </w:pPr>
            <w:r>
              <w:t xml:space="preserve">Standard</w:t>
            </w:r>
          </w:p>
        </w:tc>
      </w:tr>
      <w:tr>
        <w:tc>
          <w:tcPr/>
          <w:p>
            <w:pPr>
              <w:pStyle w:val="Compact"/>
              <w:jc w:val="left"/>
            </w:pPr>
            <w:r>
              <w:t xml:space="preserve">Overall Score display (0–1000)</w:t>
            </w:r>
          </w:p>
        </w:tc>
        <w:tc>
          <w:tcPr/>
          <w:p>
            <w:pPr>
              <w:pStyle w:val="Compact"/>
              <w:jc w:val="left"/>
            </w:pPr>
            <w:r>
              <w:t xml:space="preserve">AAA required</w:t>
            </w:r>
          </w:p>
        </w:tc>
      </w:tr>
      <w:tr>
        <w:tc>
          <w:tcPr/>
          <w:p>
            <w:pPr>
              <w:pStyle w:val="Compact"/>
              <w:jc w:val="left"/>
            </w:pPr>
            <w:r>
              <w:t xml:space="preserve">Session 0–5 score</w:t>
            </w:r>
          </w:p>
        </w:tc>
        <w:tc>
          <w:tcPr/>
          <w:p>
            <w:pPr>
              <w:pStyle w:val="Compact"/>
              <w:jc w:val="left"/>
            </w:pPr>
            <w:r>
              <w:t xml:space="preserve">AAA required</w:t>
            </w:r>
          </w:p>
        </w:tc>
      </w:tr>
      <w:tr>
        <w:tc>
          <w:tcPr/>
          <w:p>
            <w:pPr>
              <w:pStyle w:val="Compact"/>
              <w:jc w:val="left"/>
            </w:pPr>
            <w:r>
              <w:t xml:space="preserve">Integrity warning text (Section 11)</w:t>
            </w:r>
          </w:p>
        </w:tc>
        <w:tc>
          <w:tcPr/>
          <w:p>
            <w:pPr>
              <w:pStyle w:val="Compact"/>
              <w:jc w:val="left"/>
            </w:pPr>
            <w:r>
              <w:t xml:space="preserve">AAA required</w:t>
            </w:r>
          </w:p>
        </w:tc>
      </w:tr>
      <w:tr>
        <w:tc>
          <w:tcPr/>
          <w:p>
            <w:pPr>
              <w:pStyle w:val="Compact"/>
              <w:jc w:val="left"/>
            </w:pPr>
            <w:r>
              <w:t xml:space="preserve">Destructive confirmation dialog text (Section 10)</w:t>
            </w:r>
          </w:p>
        </w:tc>
        <w:tc>
          <w:tcPr/>
          <w:p>
            <w:pPr>
              <w:pStyle w:val="Compact"/>
              <w:jc w:val="left"/>
            </w:pPr>
            <w:r>
              <w:t xml:space="preserve">AAA required</w:t>
            </w:r>
          </w:p>
        </w:tc>
      </w:tr>
    </w:tbl>
    <w:p>
      <w:pPr>
        <w:pStyle w:val="BodyText"/>
      </w:pPr>
      <w:r>
        <w:t xml:space="preserve">Heatmap Accessibility</w:t>
      </w:r>
    </w:p>
    <w:p>
      <w:pPr>
        <w:pStyle w:val="BodyText"/>
      </w:pPr>
      <w:r>
        <w:t xml:space="preserve">Full AAA is not required for heatmap tiles. AA is sufficient for non-primary numeric overlays. Full AAA would force near-white text on mid-greens, reduce continuous opacity scaling nuance, and flatten the analytical subtlety of the Review surface.</w:t>
      </w:r>
    </w:p>
    <w:p>
      <w:pPr>
        <w:pStyle w:val="BodyText"/>
      </w:pPr>
      <w:r>
        <w:t xml:space="preserve">Outdoor Usage Consideration</w:t>
      </w:r>
    </w:p>
    <w:p>
      <w:pPr>
        <w:pStyle w:val="BodyText"/>
      </w:pPr>
      <w:r>
        <w:t xml:space="preserve">Drill Entry Screens will be used outdoors in sunlight. Large numeric values (score, attempt count) must be very high contrast. Small micro-labels meet AA without requiring AAA.</w:t>
      </w:r>
    </w:p>
    <w:p>
      <w:pPr>
        <w:pStyle w:val="BodyText"/>
      </w:pPr>
      <w:r>
        <w:t xml:space="preserve">15.14 Token &amp; Naming Governance</w:t>
      </w:r>
    </w:p>
    <w:p>
      <w:pPr>
        <w:pStyle w:val="BodyText"/>
      </w:pPr>
      <w:r>
        <w:t xml:space="preserve">All tokens must be semantic and product-name agnostic. Token names describe function, not brand.</w:t>
      </w:r>
    </w:p>
    <w:p>
      <w:pPr>
        <w:pStyle w:val="BodyText"/>
      </w:pPr>
      <w:r>
        <w:t xml:space="preserve">Valid Token Examples</w:t>
      </w:r>
    </w:p>
    <w:tbl>
      <w:tblPr>
        <w:tblStyle w:val="Table"/>
        <w:tblW w:type="pct" w:w="4865"/>
        <w:tblLook w:firstRow="1" w:lastRow="0" w:firstColumn="0" w:lastColumn="0" w:noHBand="0" w:noVBand="0" w:val="0020"/>
        <w:jc w:val="start"/>
      </w:tblPr>
      <w:tblGrid>
        <w:gridCol w:w="3317"/>
        <w:gridCol w:w="4388"/>
      </w:tblGrid>
      <w:tr>
        <w:trPr>
          <w:tblHeader w:val="true"/>
        </w:trPr>
        <w:tc>
          <w:tcPr/>
          <w:p>
            <w:pPr>
              <w:pStyle w:val="Compact"/>
              <w:jc w:val="left"/>
            </w:pPr>
            <w:r>
              <w:t xml:space="preserve">Token</w:t>
            </w:r>
          </w:p>
        </w:tc>
        <w:tc>
          <w:tcPr/>
          <w:p>
            <w:pPr>
              <w:pStyle w:val="Compact"/>
              <w:jc w:val="left"/>
            </w:pPr>
            <w:r>
              <w:t xml:space="preserve">Purpose</w:t>
            </w:r>
          </w:p>
        </w:tc>
      </w:tr>
      <w:tr>
        <w:tc>
          <w:tcPr/>
          <w:p>
            <w:pPr>
              <w:pStyle w:val="Compact"/>
              <w:jc w:val="left"/>
            </w:pPr>
            <w:r>
              <w:t xml:space="preserve">color.primary</w:t>
            </w:r>
          </w:p>
        </w:tc>
        <w:tc>
          <w:tcPr/>
          <w:p>
            <w:pPr>
              <w:pStyle w:val="Compact"/>
              <w:jc w:val="left"/>
            </w:pPr>
            <w:r>
              <w:t xml:space="preserve">Interaction accent colour</w:t>
            </w:r>
          </w:p>
        </w:tc>
      </w:tr>
      <w:tr>
        <w:tc>
          <w:tcPr/>
          <w:p>
            <w:pPr>
              <w:pStyle w:val="Compact"/>
              <w:jc w:val="left"/>
            </w:pPr>
            <w:r>
              <w:t xml:space="preserve">color.success</w:t>
            </w:r>
          </w:p>
        </w:tc>
        <w:tc>
          <w:tcPr/>
          <w:p>
            <w:pPr>
              <w:pStyle w:val="Compact"/>
              <w:jc w:val="left"/>
            </w:pPr>
            <w:r>
              <w:t xml:space="preserve">Hit / positive outcome</w:t>
            </w:r>
          </w:p>
        </w:tc>
      </w:tr>
      <w:tr>
        <w:tc>
          <w:tcPr/>
          <w:p>
            <w:pPr>
              <w:pStyle w:val="Compact"/>
              <w:jc w:val="left"/>
            </w:pPr>
            <w:r>
              <w:t xml:space="preserve">color.warning.integrity</w:t>
            </w:r>
          </w:p>
        </w:tc>
        <w:tc>
          <w:tcPr/>
          <w:p>
            <w:pPr>
              <w:pStyle w:val="Compact"/>
              <w:jc w:val="left"/>
            </w:pPr>
            <w:r>
              <w:t xml:space="preserve">Integrity flag indicator</w:t>
            </w:r>
          </w:p>
        </w:tc>
      </w:tr>
      <w:tr>
        <w:tc>
          <w:tcPr/>
          <w:p>
            <w:pPr>
              <w:pStyle w:val="Compact"/>
              <w:jc w:val="left"/>
            </w:pPr>
            <w:r>
              <w:t xml:space="preserve">surface.base</w:t>
            </w:r>
          </w:p>
        </w:tc>
        <w:tc>
          <w:tcPr/>
          <w:p>
            <w:pPr>
              <w:pStyle w:val="Compact"/>
              <w:jc w:val="left"/>
            </w:pPr>
            <w:r>
              <w:t xml:space="preserve">App shell background</w:t>
            </w:r>
          </w:p>
        </w:tc>
      </w:tr>
      <w:tr>
        <w:tc>
          <w:tcPr/>
          <w:p>
            <w:pPr>
              <w:pStyle w:val="Compact"/>
              <w:jc w:val="left"/>
            </w:pPr>
            <w:r>
              <w:t xml:space="preserve">spacing.16</w:t>
            </w:r>
          </w:p>
        </w:tc>
        <w:tc>
          <w:tcPr/>
          <w:p>
            <w:pPr>
              <w:pStyle w:val="Compact"/>
              <w:jc w:val="left"/>
            </w:pPr>
            <w:r>
              <w:t xml:space="preserve">Standard internal padding</w:t>
            </w:r>
          </w:p>
        </w:tc>
      </w:tr>
      <w:tr>
        <w:tc>
          <w:tcPr/>
          <w:p>
            <w:pPr>
              <w:pStyle w:val="Compact"/>
              <w:jc w:val="left"/>
            </w:pPr>
            <w:r>
              <w:t xml:space="preserve">radius.card</w:t>
            </w:r>
          </w:p>
        </w:tc>
        <w:tc>
          <w:tcPr/>
          <w:p>
            <w:pPr>
              <w:pStyle w:val="Compact"/>
              <w:jc w:val="left"/>
            </w:pPr>
            <w:r>
              <w:t xml:space="preserve">Card corner radius</w:t>
            </w:r>
          </w:p>
        </w:tc>
      </w:tr>
      <w:tr>
        <w:tc>
          <w:tcPr/>
          <w:p>
            <w:pPr>
              <w:pStyle w:val="Compact"/>
              <w:jc w:val="left"/>
            </w:pPr>
            <w:r>
              <w:t xml:space="preserve">motion.fast</w:t>
            </w:r>
          </w:p>
        </w:tc>
        <w:tc>
          <w:tcPr/>
          <w:p>
            <w:pPr>
              <w:pStyle w:val="Compact"/>
              <w:jc w:val="left"/>
            </w:pPr>
            <w:r>
              <w:t xml:space="preserve">Micro state change duration</w:t>
            </w:r>
          </w:p>
        </w:tc>
      </w:tr>
      <w:tr>
        <w:tc>
          <w:tcPr/>
          <w:p>
            <w:pPr>
              <w:pStyle w:val="Compact"/>
              <w:jc w:val="left"/>
            </w:pPr>
            <w:r>
              <w:t xml:space="preserve">heatmap.mid</w:t>
            </w:r>
          </w:p>
        </w:tc>
        <w:tc>
          <w:tcPr/>
          <w:p>
            <w:pPr>
              <w:pStyle w:val="Compact"/>
              <w:jc w:val="left"/>
            </w:pPr>
            <w:r>
              <w:t xml:space="preserve">Mid-range heatmap tile</w:t>
            </w:r>
          </w:p>
        </w:tc>
      </w:tr>
    </w:tbl>
    <w:p>
      <w:pPr>
        <w:pStyle w:val="BodyText"/>
      </w:pPr>
      <w:r>
        <w:t xml:space="preserve">Prohibited Token Names</w:t>
      </w:r>
    </w:p>
    <w:p>
      <w:pPr>
        <w:pStyle w:val="BodyText"/>
      </w:pPr>
      <w:r>
        <w:t xml:space="preserve">Any brand, product name, or working-title identifier is prohibited in token names. Examples of prohibited patterns: zx_primary, caddie_green, brand_teal, or any product-name-derived string.</w:t>
      </w:r>
    </w:p>
    <w:p>
      <w:pPr>
        <w:pStyle w:val="BodyText"/>
      </w:pPr>
      <w:r>
        <w:t xml:space="preserve">15.15 Theming &amp; Future Scalability</w:t>
      </w:r>
    </w:p>
    <w:p>
      <w:pPr>
        <w:pStyle w:val="BodyText"/>
      </w:pPr>
      <w:r>
        <w:t xml:space="preserve">The design system is built token-first. Theme overrides must modify tokens only, not component logic. This architecture supports:</w:t>
      </w:r>
    </w:p>
    <w:tbl>
      <w:tblPr>
        <w:tblStyle w:val="Table"/>
        <w:tblW w:type="pct" w:w="4915"/>
        <w:tblLook w:firstRow="1" w:lastRow="0" w:firstColumn="0" w:lastColumn="0" w:noHBand="0" w:noVBand="0" w:val="0020"/>
        <w:jc w:val="start"/>
      </w:tblPr>
      <w:tblGrid>
        <w:gridCol w:w="1879"/>
        <w:gridCol w:w="5906"/>
      </w:tblGrid>
      <w:tr>
        <w:trPr>
          <w:tblHeader w:val="true"/>
        </w:trPr>
        <w:tc>
          <w:tcPr/>
          <w:p>
            <w:pPr>
              <w:pStyle w:val="Compact"/>
              <w:jc w:val="left"/>
            </w:pPr>
            <w:r>
              <w:t xml:space="preserve">Capability</w:t>
            </w:r>
          </w:p>
        </w:tc>
        <w:tc>
          <w:tcPr/>
          <w:p>
            <w:pPr>
              <w:pStyle w:val="Compact"/>
              <w:jc w:val="left"/>
            </w:pPr>
            <w:r>
              <w:t xml:space="preserve">Implementation</w:t>
            </w:r>
          </w:p>
        </w:tc>
      </w:tr>
      <w:tr>
        <w:tc>
          <w:tcPr/>
          <w:p>
            <w:pPr>
              <w:pStyle w:val="Compact"/>
              <w:jc w:val="left"/>
            </w:pPr>
            <w:r>
              <w:t xml:space="preserve">Light mode</w:t>
            </w:r>
          </w:p>
        </w:tc>
        <w:tc>
          <w:tcPr/>
          <w:p>
            <w:pPr>
              <w:pStyle w:val="Compact"/>
              <w:jc w:val="left"/>
            </w:pPr>
            <w:r>
              <w:t xml:space="preserve">Optional in future. Achieved via token swap only. Dark remains default.</w:t>
            </w:r>
          </w:p>
        </w:tc>
      </w:tr>
      <w:tr>
        <w:tc>
          <w:tcPr/>
          <w:p>
            <w:pPr>
              <w:pStyle w:val="Compact"/>
              <w:jc w:val="left"/>
            </w:pPr>
            <w:r>
              <w:t xml:space="preserve">White-label branding</w:t>
            </w:r>
          </w:p>
        </w:tc>
        <w:tc>
          <w:tcPr/>
          <w:p>
            <w:pPr>
              <w:pStyle w:val="Compact"/>
              <w:jc w:val="left"/>
            </w:pPr>
            <w:r>
              <w:t xml:space="preserve">Supported. Coach or third-party branding via token override.</w:t>
            </w:r>
          </w:p>
        </w:tc>
      </w:tr>
      <w:tr>
        <w:tc>
          <w:tcPr/>
          <w:p>
            <w:pPr>
              <w:pStyle w:val="Compact"/>
              <w:jc w:val="left"/>
            </w:pPr>
            <w:r>
              <w:t xml:space="preserve">Platform adaptation</w:t>
            </w:r>
          </w:p>
        </w:tc>
        <w:tc>
          <w:tcPr/>
          <w:p>
            <w:pPr>
              <w:pStyle w:val="Compact"/>
              <w:jc w:val="left"/>
            </w:pPr>
            <w:r>
              <w:t xml:space="preserve">Token values can adjust for platform-specific requirements without component changes.</w:t>
            </w:r>
          </w:p>
        </w:tc>
      </w:tr>
    </w:tbl>
    <w:p>
      <w:pPr>
        <w:pStyle w:val="BodyText"/>
      </w:pPr>
      <w:r>
        <w:t xml:space="preserve">15.16 Structural Guarantees</w:t>
      </w:r>
    </w:p>
    <w:p>
      <w:pPr>
        <w:pStyle w:val="BodyText"/>
      </w:pPr>
      <w:r>
        <w:t xml:space="preserve">The Branding &amp; Design System guarantees:</w:t>
      </w:r>
    </w:p>
    <w:p>
      <w:pPr>
        <w:pStyle w:val="BodyText"/>
      </w:pPr>
      <w:r>
        <w:t xml:space="preserve">• Product-name agnostic — all identifiers remain neutral; rebrand requires wordmark swap only</w:t>
      </w:r>
    </w:p>
    <w:p>
      <w:pPr>
        <w:pStyle w:val="BodyText"/>
      </w:pPr>
      <w:r>
        <w:t xml:space="preserve">• Interaction/semantic colour separation — accent colour never used for scoring outcomes</w:t>
      </w:r>
    </w:p>
    <w:p>
      <w:pPr>
        <w:pStyle w:val="BodyText"/>
      </w:pPr>
      <w:r>
        <w:t xml:space="preserve">• Non-punitive visual language — no red for miss, no emotional framing of drops</w:t>
      </w:r>
    </w:p>
    <w:p>
      <w:pPr>
        <w:pStyle w:val="BodyText"/>
      </w:pPr>
      <w:r>
        <w:t xml:space="preserve">• Deterministic visual consistency — same colour language across Plan, Track, and Review</w:t>
      </w:r>
    </w:p>
    <w:p>
      <w:pPr>
        <w:pStyle w:val="BodyText"/>
      </w:pPr>
      <w:r>
        <w:t xml:space="preserve">• No gamification — motion, colour, and copy explicitly prohibit celebratory or game-like patterns</w:t>
      </w:r>
    </w:p>
    <w:p>
      <w:pPr>
        <w:pStyle w:val="BodyText"/>
      </w:pPr>
      <w:r>
        <w:t xml:space="preserve">• WCAG AA global minimum — selective AAA on cognitively critical surfaces</w:t>
      </w:r>
    </w:p>
    <w:p>
      <w:pPr>
        <w:pStyle w:val="BodyText"/>
      </w:pPr>
      <w:r>
        <w:t xml:space="preserve">• Token-first architecture — theme overrides modify tokens only, not component logic</w:t>
      </w:r>
    </w:p>
    <w:p>
      <w:pPr>
        <w:pStyle w:val="BodyText"/>
      </w:pPr>
      <w:r>
        <w:t xml:space="preserve">• 4px spacing integrity — no arbitrary spacing values anywhere in the system</w:t>
      </w:r>
    </w:p>
    <w:p>
      <w:pPr>
        <w:pStyle w:val="BodyText"/>
      </w:pPr>
      <w:r>
        <w:t xml:space="preserve">• Continuous heatmap scaling — no hard-banded tiers, grey-to-green only</w:t>
      </w:r>
    </w:p>
    <w:p>
      <w:pPr>
        <w:pStyle w:val="BodyText"/>
      </w:pPr>
      <w:r>
        <w:t xml:space="preserve">• Architectural isolation — visual system does not influence scoring engine, window mechanics, or reflow governance</w:t>
      </w:r>
    </w:p>
    <w:p>
      <w:pPr>
        <w:pStyle w:val="BodyText"/>
      </w:pPr>
      <w:r>
        <w:t xml:space="preserve">End of Section 15 — Branding &amp; Design System (15v.a3 Consolidated)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2026-02-27T15:51:50Z</dcterms:created>
  <dcterms:modified xsi:type="dcterms:W3CDTF">2026-02-27T15:51:50Z</dcterms:modified>
</cp:coreProperties>
</file>

<file path=docProps/custom.xml><?xml version="1.0" encoding="utf-8"?>
<Properties xmlns="http://schemas.openxmlformats.org/officeDocument/2006/custom-properties" xmlns:vt="http://schemas.openxmlformats.org/officeDocument/2006/docPropsVTypes"/>
</file>