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b/>
          <w:bCs/>
          <w:sz w:val="36"/>
          <w:szCs w:val="36"/>
        </w:rPr>
        <w:t xml:space="preserve">TD-08 — Claude Code Prompt Architecture</w:t>
      </w:r>
    </w:p>
    <w:p>
      <w:pPr>
        <w:spacing w:after="120"/>
      </w:pPr>
      <w:r>
        <w:rPr>
          <w:rFonts w:ascii="Arial" w:cs="Arial" w:eastAsia="Arial" w:hAnsi="Arial"/>
          <w:b/>
          <w:bCs/>
          <w:sz w:val="22"/>
          <w:szCs w:val="22"/>
        </w:rPr>
        <w:t xml:space="preserve">Version TD-08v.a3 — Canonical</w:t>
      </w:r>
    </w:p>
    <w:p>
      <w:pPr>
        <w:spacing w:after="120"/>
      </w:pPr>
      <w:r>
        <w:rPr>
          <w:rFonts w:ascii="Arial" w:cs="Arial" w:eastAsia="Arial" w:hAnsi="Arial"/>
          <w:sz w:val="22"/>
          <w:szCs w:val="22"/>
        </w:rPr>
        <w:t xml:space="preserve">Harmonised with: Section 0 (0v.f1), Section 1 (1v.g2), Section 2 (2v.f1), Section 3 (3v.g8), Section 4 (4v.g9), Section 5 (5v.d6), Section 6 (6v.b7), Section 7 (7v.b9), Section 8 (8v.a8), Section 9 (9v.a2), Section 10 (10v.a5), Section 11 (11v.a5), Section 12 (12v.a5), Section 13 (13v.a7), Section 14 (14v.a4), Section 15 (15v.a3), Section 16 (16v.a5), Section 17 (17v.a4), TD-01 (TD-01v.a4), TD-02 (TD-02v.a6), TD-03 (TD-03v.a5), TD-04 (TD-04v.a4), TD-05 (TD-05v.a3), TD-06 (TD-06v.a6), TD-07 (TD-07v.a4).</w:t>
      </w:r>
    </w:p>
    <w:p>
      <w:pPr>
        <w:spacing w:after="120"/>
      </w:pPr>
      <w:r>
        <w:rPr>
          <w:rFonts w:ascii="Arial" w:cs="Arial" w:eastAsia="Arial" w:hAnsi="Arial"/>
          <w:sz w:val="22"/>
          <w:szCs w:val="22"/>
        </w:rPr>
        <w:t xml:space="preserve">This document defines how Claude Code consumes the ZX Golf App specification suite during development. It specifies which documents are loaded for each build phase, the CLAUDE.md governance file, prompt templates for each task type, codebase conventions, and verification checkpoints. Claude Code must treat this document as authoritative for all session configuration and prompting decisions.</w:t>
      </w:r>
    </w:p>
    <w:p>
      <w:pPr>
        <w:pStyle w:val="Heading1"/>
      </w:pPr>
      <w:r>
        <w:rPr>
          <w:b/>
          <w:bCs/>
        </w:rPr>
        <w:t xml:space="preserve">1. Purpose</w:t>
      </w:r>
    </w:p>
    <w:p>
      <w:pPr>
        <w:spacing w:after="120"/>
      </w:pPr>
      <w:r>
        <w:rPr>
          <w:rFonts w:ascii="Arial" w:cs="Arial" w:eastAsia="Arial" w:hAnsi="Arial"/>
          <w:sz w:val="22"/>
          <w:szCs w:val="22"/>
        </w:rPr>
        <w:t xml:space="preserve">The ZX Golf App specification suite comprises 18 product specification sections (Section 0–17) and 8 technical design documents (TD-01–TD-08). These 26 documents exceed the context window capacity of any single Claude Code session. TD-08 solves this constraint by defining a context loading strategy that provides each session with the minimum necessary and sufficient documentation to build its assigned phase correctly.</w:t>
      </w:r>
    </w:p>
    <w:p>
      <w:pPr>
        <w:spacing w:after="120"/>
      </w:pPr>
      <w:r>
        <w:rPr>
          <w:rFonts w:ascii="Arial" w:cs="Arial" w:eastAsia="Arial" w:hAnsi="Arial"/>
          <w:sz w:val="22"/>
          <w:szCs w:val="22"/>
        </w:rPr>
        <w:t xml:space="preserve">TD-06 is the master sequencing document that defines what is built in each phase. TD-08 is the companion document that defines what Claude Code reads in each phase. Together they govern all Claude Code sessions.</w:t>
      </w:r>
    </w:p>
    <w:p>
      <w:pPr>
        <w:spacing w:after="120"/>
      </w:pPr>
      <w:r>
        <w:rPr>
          <w:rFonts w:ascii="Arial" w:cs="Arial" w:eastAsia="Arial" w:hAnsi="Arial"/>
          <w:sz w:val="22"/>
          <w:szCs w:val="22"/>
        </w:rPr>
        <w:t xml:space="preserve">Deliverable: This specification document plus a draft CLAUDE.md file for the project repository.</w:t>
      </w:r>
    </w:p>
    <w:p>
      <w:pPr>
        <w:pStyle w:val="Heading1"/>
      </w:pPr>
      <w:r>
        <w:rPr>
          <w:b/>
          <w:bCs/>
        </w:rPr>
        <w:t xml:space="preserve">2. Complete Artifact Inventory</w:t>
      </w:r>
    </w:p>
    <w:p>
      <w:pPr>
        <w:spacing w:after="120"/>
      </w:pPr>
      <w:r>
        <w:rPr>
          <w:rFonts w:ascii="Arial" w:cs="Arial" w:eastAsia="Arial" w:hAnsi="Arial"/>
          <w:sz w:val="22"/>
          <w:szCs w:val="22"/>
        </w:rPr>
        <w:t xml:space="preserve">The following table lists every document in the specification suite. Each document is assigned a short reference ID used throughout this document and in CLAUDE.md.</w:t>
      </w:r>
    </w:p>
    <w:p>
      <w:pPr>
        <w:pStyle w:val="Heading2"/>
      </w:pPr>
      <w:r>
        <w:rPr>
          <w:b/>
          <w:bCs/>
        </w:rPr>
        <w:t xml:space="preserve">2.1 Product Specification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560"/>
        <w:gridCol w:w="1300"/>
        <w:gridCol w:w="130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ID</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Est. Tokens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S00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Canonical Terminology &amp; Definitions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0v.f1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S01</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Scoring Engine</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1v.g2</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Large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S02</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 Architecture &amp; Weighting Framework</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2v.f1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S03</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User Journey Architecture</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3v.g8</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Large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S04</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Drill Entry System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4v.g9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Large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S05</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Review: SkillScore &amp; Analysis</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5v.d6</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Medium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S06</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Model &amp; Persistence Layer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6v.b7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Large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S07</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Reflow Governance System</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7v.b9</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Large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S08</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Practice Planning Layer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8v.a8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Large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S09</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Golf Bag &amp; Club Configuration</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9v.a2</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Medium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S10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Settings &amp; Configuration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10v.a5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S11</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Metrics Integrity &amp; Safeguards</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11v.a5</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Medium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S12</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UI/UX Structural Architecture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12v.a5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S13</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Live Practice Workflow</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13v.a7</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Large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S14</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Drill Entry Screens &amp; System Drill Library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14v.a4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Large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S15</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Branding &amp; Design System</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15v.a3</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Large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S16</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Database Architecture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16v.a5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Large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S17</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Real-World Application Layer</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17v.a4</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Large</w:t>
            </w:r>
          </w:p>
        </w:tc>
      </w:tr>
    </w:tbl>
    <w:p>
      <w:pPr>
        <w:pStyle w:val="Heading2"/>
      </w:pPr>
      <w:r>
        <w:rPr>
          <w:b/>
          <w:bCs/>
        </w:rPr>
        <w:t xml:space="preserve">2.2 Technical Design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560"/>
        <w:gridCol w:w="1300"/>
        <w:gridCol w:w="130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ID</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Est. Tokens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TD-01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Technology Stack Decisions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TD-01v.a3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Large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TD-02</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Database DDL Schema</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TD-02v.a4</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Large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TD-03</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 Contract Layer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TD-03v.a4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Large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TD-04</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Entity State Machines &amp; Reflow Process</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TD-04v.a3</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Large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TD-05</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Scoring Engine Test Cases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TD-05v.a3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Large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TD-06</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Phased Build Plan</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TD-06v.a4</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Large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TD-07</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Error Handling Patterns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TD-07v.a4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Large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TD-08</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Claude Code Prompt Architecture (this document)</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TD-08v.a3</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Large</w:t>
            </w:r>
          </w:p>
        </w:tc>
      </w:tr>
    </w:tbl>
    <w:p>
      <w:r>
        <w:br w:type="page"/>
      </w:r>
    </w:p>
    <w:p>
      <w:pPr>
        <w:pStyle w:val="Heading1"/>
      </w:pPr>
      <w:r>
        <w:rPr>
          <w:b/>
          <w:bCs/>
        </w:rPr>
        <w:t xml:space="preserve">3. Context Loading Strategy</w:t>
      </w:r>
    </w:p>
    <w:p>
      <w:pPr>
        <w:spacing w:after="120"/>
      </w:pPr>
      <w:r>
        <w:rPr>
          <w:rFonts w:ascii="Arial" w:cs="Arial" w:eastAsia="Arial" w:hAnsi="Arial"/>
          <w:sz w:val="22"/>
          <w:szCs w:val="22"/>
        </w:rPr>
        <w:t xml:space="preserve">Every Claude Code session loads two categories of context: Always-Loaded Context (present in every session regardless of phase) and Phase-Specific Context (additional documents loaded for the current build phase). The CLAUDE.md file provides persistent project-level context and is always present by virtue of residing in the repository root.</w:t>
      </w:r>
    </w:p>
    <w:p>
      <w:pPr>
        <w:pStyle w:val="Heading2"/>
      </w:pPr>
      <w:r>
        <w:rPr>
          <w:b/>
          <w:bCs/>
        </w:rPr>
        <w:t xml:space="preserve">3.1 Always-Loaded Context</w:t>
      </w:r>
    </w:p>
    <w:p>
      <w:pPr>
        <w:spacing w:after="120"/>
      </w:pPr>
      <w:r>
        <w:rPr>
          <w:rFonts w:ascii="Arial" w:cs="Arial" w:eastAsia="Arial" w:hAnsi="Arial"/>
          <w:sz w:val="22"/>
          <w:szCs w:val="22"/>
        </w:rPr>
        <w:t xml:space="preserve">The following artefacts must be present in every Claude Code session. They provide the foundational vocabulary, structural decisions, and phase scoping that every task requires.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Artefact</w:t>
            </w:r>
          </w:p>
        </w:tc>
        <w:tc>
          <w:tcPr>
            <w:tcW w:type="dxa" w:w="6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Justification</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CLAUDE.md (project root)</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Persistent conventions, directory map, naming rules, source-of-truth hierarchy. Loaded automatically by Claude Code.</w:t>
            </w:r>
          </w:p>
        </w:tc>
      </w:tr>
      <w:tr>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S00 — Canonical Definitions</w:t>
            </w:r>
          </w:p>
        </w:tc>
        <w:tc>
          <w:tcPr>
            <w:tcW w:type="dxa" w:w="6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Every session must use correct terminology. Misaligned terminology produces specification violations.</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S06 — Data Model (Sections 1–5 only)</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Entity definitions and relationship overview. Required to understand any data operation. The full cascade rules and JSON column specifications are loaded phase-specifically when needed.</w:t>
            </w:r>
          </w:p>
        </w:tc>
      </w:tr>
      <w:tr>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TD-01 — Technology Stack</w:t>
            </w:r>
          </w:p>
        </w:tc>
        <w:tc>
          <w:tcPr>
            <w:tcW w:type="dxa" w:w="6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Platform, sync, security, and scale decisions govern all implementation choices. Always needed.</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TD-02 — DDL Schema (machine-generated snapshot)</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 machine-generated DDL snapshot table that includes: every table name, every column with type, NOT NULL, DEFAULT value, FK target, ON DELETE behaviour, and index coverage. This snapshot must be auto-generated from the canonical TD-02 DDL — never hand-summarised. Hand summarisation risks omitting sync columns, CHECK constraints, or trigger rules that produce catastrophic divergence. The full DDL is loaded phase-specifically for schema work.</w:t>
            </w:r>
          </w:p>
        </w:tc>
      </w:tr>
      <w:tr>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TD-06 — Build Plan (current phase only)</w:t>
            </w:r>
          </w:p>
        </w:tc>
        <w:tc>
          <w:tcPr>
            <w:tcW w:type="dxa" w:w="6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The specific phase section from TD-06 that defines scope, deliverables, stubs, and acceptance criteria. Only the current phase section is loaded, not the full document.</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TD-07 — Error Handling (§2, §3, §10 only)</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Error type hierarchy (§2), propagation model (§3), and user-facing message catalogue (§10). These three sections govern error handling patterns in every phase. Phase-specific error sections are loaded when relevant.</w:t>
            </w:r>
          </w:p>
        </w:tc>
      </w:tr>
      <w:tr>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TD-03 §2.1.1 — SyncWriteGate summary</w:t>
            </w:r>
          </w:p>
        </w:tc>
        <w:tc>
          <w:tcPr>
            <w:tcW w:type="dxa" w:w="6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The SyncWriteGate coordinates Repository writes and Sync merge exclusivity. Even pre-sync phases must structure Repository writes to be gate-compatible: all writes through transactions, no long-held write locks, no assumptions about uninterrupted write access. Loading this summary in every session prevents Phase 3–6 repository code from being structurally incompatible with sync.</w:t>
            </w:r>
          </w:p>
        </w:tc>
      </w:tr>
    </w:tbl>
    <w:p>
      <w:pPr>
        <w:spacing w:after="120"/>
      </w:pPr>
      <w:r>
        <w:rPr>
          <w:rFonts w:ascii="Arial" w:cs="Arial" w:eastAsia="Arial" w:hAnsi="Arial"/>
          <w:sz w:val="22"/>
          <w:szCs w:val="22"/>
        </w:rPr>
        <w:t xml:space="preserve">The always-loaded context is deliberately minimal. It provides vocabulary (S00), data structure awareness (S06 summary, TD-02 snapshot), platform decisions (TD-01), sync-awareness (TD-03 SyncWriteGate), phase scope (TD-06 extract), error patterns (TD-07 extract), and project conventions (CLAUDE.md). Everything else is phase-specific.</w:t>
      </w:r>
    </w:p>
    <w:p>
      <w:pPr>
        <w:spacing w:after="120"/>
      </w:pPr>
      <w:r>
        <w:rPr>
          <w:rFonts w:ascii="Arial" w:cs="Arial" w:eastAsia="Arial" w:hAnsi="Arial"/>
          <w:sz w:val="22"/>
          <w:szCs w:val="22"/>
        </w:rPr>
        <w:t xml:space="preserve">Entity structure conflict rule: S06 (Product Spec) describes entities narratively. TD-02 (DDL Schema) defines them as executable SQL with exact column types, constraints, defaults, and foreign key behaviour. When entity definitions in S06 and TD-02 diverge — on nullability, default values, column types, or constraint behaviour — TD-02 governs. This is a specific application of the general source-of-truth hierarchy (§5.4) but is stated explicitly here because S06 and TD-02 are both always-loaded, making silent divergence a persistent risk.</w:t>
      </w:r>
    </w:p>
    <w:p>
      <w:pPr>
        <w:pStyle w:val="Heading2"/>
      </w:pPr>
      <w:r>
        <w:rPr>
          <w:b/>
          <w:bCs/>
        </w:rPr>
        <w:t xml:space="preserve">3.2 Phase-Specific Context</w:t>
      </w:r>
    </w:p>
    <w:p>
      <w:pPr>
        <w:spacing w:after="120"/>
      </w:pPr>
      <w:r>
        <w:rPr>
          <w:rFonts w:ascii="Arial" w:cs="Arial" w:eastAsia="Arial" w:hAnsi="Arial"/>
          <w:sz w:val="22"/>
          <w:szCs w:val="22"/>
        </w:rPr>
        <w:t xml:space="preserve">Each build phase loads additional documents beyond the always-loaded set. The following table maps each phase to its required context. Documents listed as “full” are loaded in their entirety. Documents listed with section numbers are loaded as extracts.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Additional Documents (Full)</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Additional Documents (Extracts)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1
Data Foundation
&amp; Design System</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S15 — Branding &amp; Design System</w:t>
            </w:r>
          </w:p>
          <w:p>
            <w:pPr>
              <w:spacing w:after="40"/>
            </w:pPr>
            <w:r>
              <w:rPr>
                <w:rFonts w:ascii="Arial" w:cs="Arial" w:eastAsia="Arial" w:hAnsi="Arial"/>
                <w:b w:val="false"/>
                <w:bCs w:val="false"/>
                <w:sz w:val="20"/>
                <w:szCs w:val="20"/>
              </w:rPr>
              <w:t xml:space="preserve">S16 — Database Architecture</w:t>
            </w:r>
          </w:p>
          <w:p>
            <w:pPr>
              <w:spacing w:after="40"/>
            </w:pPr>
            <w:r>
              <w:rPr>
                <w:rFonts w:ascii="Arial" w:cs="Arial" w:eastAsia="Arial" w:hAnsi="Arial"/>
                <w:b w:val="false"/>
                <w:bCs w:val="false"/>
                <w:sz w:val="20"/>
                <w:szCs w:val="20"/>
              </w:rPr>
              <w:t xml:space="preserve">TD-02 — DDL Schema (full)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S06 — Data Model (full, replacing summary)</w:t>
            </w:r>
          </w:p>
          <w:p>
            <w:pPr>
              <w:spacing w:after="40"/>
            </w:pPr>
            <w:r>
              <w:rPr>
                <w:rFonts w:ascii="Arial" w:cs="Arial" w:eastAsia="Arial" w:hAnsi="Arial"/>
                <w:b w:val="false"/>
                <w:bCs w:val="false"/>
                <w:sz w:val="20"/>
                <w:szCs w:val="20"/>
              </w:rPr>
              <w:t xml:space="preserve">TD-03 §2.2, §3.1–3.2 (Repository Layer Principles, Repository org, CRUD pattern)</w:t>
            </w:r>
          </w:p>
          <w:p>
            <w:pPr>
              <w:spacing w:after="40"/>
            </w:pPr>
            <w:r>
              <w:rPr>
                <w:rFonts w:ascii="Arial" w:cs="Arial" w:eastAsia="Arial" w:hAnsi="Arial"/>
                <w:b w:val="false"/>
                <w:bCs w:val="false"/>
                <w:sz w:val="20"/>
                <w:szCs w:val="20"/>
              </w:rPr>
              <w:t xml:space="preserve">TD-07 §15 (Error handling by build phase, Phase 1)</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Phase 2A
Pure Scoring
Library</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S01 — Scoring Engine</w:t>
            </w:r>
          </w:p>
          <w:p>
            <w:pPr>
              <w:spacing w:after="40"/>
            </w:pPr>
            <w:r>
              <w:rPr>
                <w:rFonts w:ascii="Arial" w:cs="Arial" w:eastAsia="Arial" w:hAnsi="Arial"/>
                <w:b w:val="false"/>
                <w:bCs w:val="false"/>
                <w:sz w:val="20"/>
                <w:szCs w:val="20"/>
              </w:rPr>
              <w:t xml:space="preserve">S02 — Skill Architecture</w:t>
            </w:r>
          </w:p>
          <w:p>
            <w:pPr>
              <w:spacing w:after="40"/>
            </w:pPr>
            <w:r>
              <w:rPr>
                <w:rFonts w:ascii="Arial" w:cs="Arial" w:eastAsia="Arial" w:hAnsi="Arial"/>
                <w:b w:val="false"/>
                <w:bCs w:val="false"/>
                <w:sz w:val="20"/>
                <w:szCs w:val="20"/>
              </w:rPr>
              <w:t xml:space="preserve">TD-05 — Scoring Test Cases (§4–9)</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S14 §V1 drill anchors table (reference data for test fixtures)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2.5
Server
Foundation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S16 — Database Architecture</w:t>
            </w:r>
          </w:p>
          <w:p>
            <w:pPr>
              <w:spacing w:after="40"/>
            </w:pPr>
            <w:r>
              <w:rPr>
                <w:rFonts w:ascii="Arial" w:cs="Arial" w:eastAsia="Arial" w:hAnsi="Arial"/>
                <w:b w:val="false"/>
                <w:bCs w:val="false"/>
                <w:sz w:val="20"/>
                <w:szCs w:val="20"/>
              </w:rPr>
              <w:t xml:space="preserve">TD-02 — DDL Schema (full)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S17 §17.4.1–17.4.3 (sync transport basics)</w:t>
            </w:r>
          </w:p>
          <w:p>
            <w:pPr>
              <w:spacing w:after="40"/>
            </w:pPr>
            <w:r>
              <w:rPr>
                <w:rFonts w:ascii="Arial" w:cs="Arial" w:eastAsia="Arial" w:hAnsi="Arial"/>
                <w:b w:val="false"/>
                <w:bCs w:val="false"/>
                <w:sz w:val="20"/>
                <w:szCs w:val="20"/>
              </w:rPr>
              <w:t xml:space="preserve">TD-03 §5 (Sync Transport Layer)</w:t>
            </w:r>
          </w:p>
          <w:p>
            <w:pPr>
              <w:spacing w:after="40"/>
            </w:pPr>
            <w:r>
              <w:rPr>
                <w:rFonts w:ascii="Arial" w:cs="Arial" w:eastAsia="Arial" w:hAnsi="Arial"/>
                <w:b w:val="false"/>
                <w:bCs w:val="false"/>
                <w:sz w:val="20"/>
                <w:szCs w:val="20"/>
              </w:rPr>
              <w:t xml:space="preserve">TD-03 §8 (Authentication)</w:t>
            </w:r>
          </w:p>
          <w:p>
            <w:pPr>
              <w:spacing w:after="40"/>
            </w:pPr>
            <w:r>
              <w:rPr>
                <w:rFonts w:ascii="Arial" w:cs="Arial" w:eastAsia="Arial" w:hAnsi="Arial"/>
                <w:b w:val="false"/>
                <w:bCs w:val="false"/>
                <w:sz w:val="20"/>
                <w:szCs w:val="20"/>
              </w:rPr>
              <w:t xml:space="preserve">TD-07 §6, §9 (Sync errors, Auth errors)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Phase 2B
Reflow &amp;
Lock Layer</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S07 — Reflow Governance</w:t>
            </w:r>
          </w:p>
          <w:p>
            <w:pPr>
              <w:spacing w:after="40"/>
            </w:pPr>
            <w:r>
              <w:rPr>
                <w:rFonts w:ascii="Arial" w:cs="Arial" w:eastAsia="Arial" w:hAnsi="Arial"/>
                <w:b w:val="false"/>
                <w:bCs w:val="false"/>
                <w:sz w:val="20"/>
                <w:szCs w:val="20"/>
              </w:rPr>
              <w:t xml:space="preserve">TD-04 — State Machines &amp; Reflow (§3–4)</w:t>
            </w:r>
          </w:p>
          <w:p>
            <w:pPr>
              <w:spacing w:after="40"/>
            </w:pPr>
            <w:r>
              <w:rPr>
                <w:rFonts w:ascii="Arial" w:cs="Arial" w:eastAsia="Arial" w:hAnsi="Arial"/>
                <w:b w:val="false"/>
                <w:bCs w:val="false"/>
                <w:sz w:val="20"/>
                <w:szCs w:val="20"/>
              </w:rPr>
              <w:t xml:space="preserve">TD-05 — Scoring Test Cases (§10–12)</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TD-03 §4 (Reflow Process Contract)</w:t>
            </w:r>
          </w:p>
          <w:p>
            <w:pPr>
              <w:spacing w:after="40"/>
            </w:pPr>
            <w:r>
              <w:rPr>
                <w:rFonts w:ascii="Arial" w:cs="Arial" w:eastAsia="Arial" w:hAnsi="Arial"/>
                <w:b w:val="false"/>
                <w:bCs w:val="false"/>
                <w:sz w:val="20"/>
                <w:szCs w:val="20"/>
              </w:rPr>
              <w:t xml:space="preserve">TD-07 §5 (Reflow errors)</w:t>
            </w:r>
          </w:p>
          <w:p>
            <w:pPr>
              <w:spacing w:after="40"/>
            </w:pPr>
            <w:r>
              <w:rPr>
                <w:rFonts w:ascii="Arial" w:cs="Arial" w:eastAsia="Arial" w:hAnsi="Arial"/>
                <w:b w:val="false"/>
                <w:bCs w:val="false"/>
                <w:sz w:val="20"/>
                <w:szCs w:val="20"/>
              </w:rPr>
              <w:t xml:space="preserve">S16 §16.1.6 (Materialised tables)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3
Drill &amp; Bag
Configuration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S04 — Drill Entry System</w:t>
            </w:r>
          </w:p>
          <w:p>
            <w:pPr>
              <w:spacing w:after="40"/>
            </w:pPr>
            <w:r>
              <w:rPr>
                <w:rFonts w:ascii="Arial" w:cs="Arial" w:eastAsia="Arial" w:hAnsi="Arial"/>
                <w:b w:val="false"/>
                <w:bCs w:val="false"/>
                <w:sz w:val="20"/>
                <w:szCs w:val="20"/>
              </w:rPr>
              <w:t xml:space="preserve">S09 — Golf Bag &amp; Club Configuration</w:t>
            </w:r>
          </w:p>
          <w:p>
            <w:pPr>
              <w:spacing w:after="40"/>
            </w:pPr>
            <w:r>
              <w:rPr>
                <w:rFonts w:ascii="Arial" w:cs="Arial" w:eastAsia="Arial" w:hAnsi="Arial"/>
                <w:b w:val="false"/>
                <w:bCs w:val="false"/>
                <w:sz w:val="20"/>
                <w:szCs w:val="20"/>
              </w:rPr>
              <w:t xml:space="preserve">S14 — Drill Entry Screens &amp; System Drill Library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TD-03 §3.3.2, §3.3.5 (DrillRepository, ClubRepository)</w:t>
            </w:r>
          </w:p>
          <w:p>
            <w:pPr>
              <w:spacing w:after="40"/>
            </w:pPr>
            <w:r>
              <w:rPr>
                <w:rFonts w:ascii="Arial" w:cs="Arial" w:eastAsia="Arial" w:hAnsi="Arial"/>
                <w:b w:val="false"/>
                <w:bCs w:val="false"/>
                <w:sz w:val="20"/>
                <w:szCs w:val="20"/>
              </w:rPr>
              <w:t xml:space="preserve">TD-04 §2.4–2.5, §2.10 (Drill, Adoption, UserClub state machines)</w:t>
            </w:r>
          </w:p>
          <w:p>
            <w:pPr>
              <w:spacing w:after="40"/>
            </w:pPr>
            <w:r>
              <w:rPr>
                <w:rFonts w:ascii="Arial" w:cs="Arial" w:eastAsia="Arial" w:hAnsi="Arial"/>
                <w:b w:val="false"/>
                <w:bCs w:val="false"/>
                <w:sz w:val="20"/>
                <w:szCs w:val="20"/>
              </w:rPr>
              <w:t xml:space="preserve">TD-07 §4 (Validation errors)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Phase 4
Live Practice</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S03 — User Journey Architecture</w:t>
            </w:r>
          </w:p>
          <w:p>
            <w:pPr>
              <w:spacing w:after="40"/>
            </w:pPr>
            <w:r>
              <w:rPr>
                <w:rFonts w:ascii="Arial" w:cs="Arial" w:eastAsia="Arial" w:hAnsi="Arial"/>
                <w:b w:val="false"/>
                <w:bCs w:val="false"/>
                <w:sz w:val="20"/>
                <w:szCs w:val="20"/>
              </w:rPr>
              <w:t xml:space="preserve">S13 — Live Practice Workflow</w:t>
            </w:r>
          </w:p>
          <w:p>
            <w:pPr>
              <w:spacing w:after="40"/>
            </w:pPr>
            <w:r>
              <w:rPr>
                <w:rFonts w:ascii="Arial" w:cs="Arial" w:eastAsia="Arial" w:hAnsi="Arial"/>
                <w:b w:val="false"/>
                <w:bCs w:val="false"/>
                <w:sz w:val="20"/>
                <w:szCs w:val="20"/>
              </w:rPr>
              <w:t xml:space="preserve">S14 — Drill Entry Screens &amp; System Drill Library</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S04 (loaded if not already from Phase 3)</w:t>
            </w:r>
          </w:p>
          <w:p>
            <w:pPr>
              <w:spacing w:after="40"/>
            </w:pPr>
            <w:r>
              <w:rPr>
                <w:rFonts w:ascii="Arial" w:cs="Arial" w:eastAsia="Arial" w:hAnsi="Arial"/>
                <w:b w:val="false"/>
                <w:bCs w:val="false"/>
                <w:sz w:val="20"/>
                <w:szCs w:val="20"/>
              </w:rPr>
              <w:t xml:space="preserve">S11 — Metrics Integrity (§11.1–11.6)</w:t>
            </w:r>
          </w:p>
          <w:p>
            <w:pPr>
              <w:spacing w:after="40"/>
            </w:pPr>
            <w:r>
              <w:rPr>
                <w:rFonts w:ascii="Arial" w:cs="Arial" w:eastAsia="Arial" w:hAnsi="Arial"/>
                <w:b w:val="false"/>
                <w:bCs w:val="false"/>
                <w:sz w:val="20"/>
                <w:szCs w:val="20"/>
              </w:rPr>
              <w:t xml:space="preserve">TD-03 §3.3.3, §4.4 (PracticeRepository, Session Close Pipeline)</w:t>
            </w:r>
          </w:p>
          <w:p>
            <w:pPr>
              <w:spacing w:after="40"/>
            </w:pPr>
            <w:r>
              <w:rPr>
                <w:rFonts w:ascii="Arial" w:cs="Arial" w:eastAsia="Arial" w:hAnsi="Arial"/>
                <w:b w:val="false"/>
                <w:bCs w:val="false"/>
                <w:sz w:val="20"/>
                <w:szCs w:val="20"/>
              </w:rPr>
              <w:t xml:space="preserve">TD-04 §2.1–2.3 (PracticeEntry, Session, PracticeBlock state machines)</w:t>
            </w:r>
          </w:p>
          <w:p>
            <w:pPr>
              <w:spacing w:after="40"/>
            </w:pPr>
            <w:r>
              <w:rPr>
                <w:rFonts w:ascii="Arial" w:cs="Arial" w:eastAsia="Arial" w:hAnsi="Arial"/>
                <w:b w:val="false"/>
                <w:bCs w:val="false"/>
                <w:sz w:val="20"/>
                <w:szCs w:val="20"/>
              </w:rPr>
              <w:t xml:space="preserve">TD-07 §4, §13 (Validation errors, Partial save recovery)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5
Planning Layer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S08 — Practice Planning Layer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TD-03 §3.3.6 (PlanningRepository)</w:t>
            </w:r>
          </w:p>
          <w:p>
            <w:pPr>
              <w:spacing w:after="40"/>
            </w:pPr>
            <w:r>
              <w:rPr>
                <w:rFonts w:ascii="Arial" w:cs="Arial" w:eastAsia="Arial" w:hAnsi="Arial"/>
                <w:b w:val="false"/>
                <w:bCs w:val="false"/>
                <w:sz w:val="20"/>
                <w:szCs w:val="20"/>
              </w:rPr>
              <w:t xml:space="preserve">TD-04 §2.6, §2.8–2.9 (CalendarDay Slot, Routine, Schedule state machines)</w:t>
            </w:r>
          </w:p>
          <w:p>
            <w:pPr>
              <w:spacing w:after="40"/>
            </w:pPr>
            <w:r>
              <w:rPr>
                <w:rFonts w:ascii="Arial" w:cs="Arial" w:eastAsia="Arial" w:hAnsi="Arial"/>
                <w:b w:val="false"/>
                <w:bCs w:val="false"/>
                <w:sz w:val="20"/>
                <w:szCs w:val="20"/>
              </w:rPr>
              <w:t xml:space="preserve">TD-07 §4 (Validation errors)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Phase 6
Review &amp;
Analysis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S05 — Review: SkillScore &amp; Analysis</w:t>
            </w:r>
          </w:p>
          <w:p>
            <w:pPr>
              <w:spacing w:after="40"/>
            </w:pPr>
            <w:r>
              <w:rPr>
                <w:rFonts w:ascii="Arial" w:cs="Arial" w:eastAsia="Arial" w:hAnsi="Arial"/>
                <w:b w:val="false"/>
                <w:bCs w:val="false"/>
                <w:sz w:val="20"/>
                <w:szCs w:val="20"/>
              </w:rPr>
              <w:t xml:space="preserve">S12 — UI/UX Structural Architecture</w:t>
            </w:r>
          </w:p>
          <w:p>
            <w:pPr>
              <w:spacing w:after="40"/>
            </w:pPr>
            <w:r>
              <w:rPr>
                <w:rFonts w:ascii="Arial" w:cs="Arial" w:eastAsia="Arial" w:hAnsi="Arial"/>
                <w:b w:val="false"/>
                <w:bCs w:val="false"/>
                <w:sz w:val="20"/>
                <w:szCs w:val="20"/>
              </w:rPr>
              <w:t xml:space="preserve">S15 — Branding &amp; Design System</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TD-03 §3.3.4 (ScoringRepository read methods)</w:t>
            </w:r>
          </w:p>
          <w:p>
            <w:pPr>
              <w:spacing w:after="40"/>
            </w:pPr>
            <w:r>
              <w:rPr>
                <w:rFonts w:ascii="Arial" w:cs="Arial" w:eastAsia="Arial" w:hAnsi="Arial"/>
                <w:b w:val="false"/>
                <w:bCs w:val="false"/>
                <w:sz w:val="20"/>
                <w:szCs w:val="20"/>
              </w:rPr>
              <w:t xml:space="preserve">S16 §16.1.6 (Materialised tables)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7A
Sync Transport
&amp; DTO</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S17 — Real-World Application Layer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TD-03 §5 (Sync Transport Layer, full)</w:t>
            </w:r>
          </w:p>
          <w:p>
            <w:pPr>
              <w:spacing w:after="40"/>
            </w:pPr>
            <w:r>
              <w:rPr>
                <w:rFonts w:ascii="Arial" w:cs="Arial" w:eastAsia="Arial" w:hAnsi="Arial"/>
                <w:b w:val="false"/>
                <w:bCs w:val="false"/>
                <w:sz w:val="20"/>
                <w:szCs w:val="20"/>
              </w:rPr>
              <w:t xml:space="preserve">TD-07 §6 (Sync errors)</w:t>
            </w:r>
          </w:p>
          <w:p>
            <w:pPr>
              <w:spacing w:after="40"/>
            </w:pPr>
            <w:r>
              <w:rPr>
                <w:rFonts w:ascii="Arial" w:cs="Arial" w:eastAsia="Arial" w:hAnsi="Arial"/>
                <w:b w:val="false"/>
                <w:bCs w:val="false"/>
                <w:sz w:val="20"/>
                <w:szCs w:val="20"/>
              </w:rPr>
              <w:t xml:space="preserve">TD-01 §2 (Sync Strategy, full — always loaded but ensure §2.5–2.11 are present)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Phase 7B
Merge &amp;
Rebuild</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S17 — Real-World Application Layer</w:t>
            </w:r>
          </w:p>
          <w:p>
            <w:pPr>
              <w:spacing w:after="40"/>
            </w:pPr>
            <w:r>
              <w:rPr>
                <w:rFonts w:ascii="Arial" w:cs="Arial" w:eastAsia="Arial" w:hAnsi="Arial"/>
                <w:b w:val="false"/>
                <w:bCs w:val="false"/>
                <w:sz w:val="20"/>
                <w:szCs w:val="20"/>
              </w:rPr>
              <w:t xml:space="preserve">TD-04 — State Machines &amp; Reflow (full)</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TD-01 §2.3–2.6 (Merge Precedence, CalendarDay Merge, Pipeline, Atomicity)</w:t>
            </w:r>
          </w:p>
          <w:p>
            <w:pPr>
              <w:spacing w:after="40"/>
            </w:pPr>
            <w:r>
              <w:rPr>
                <w:rFonts w:ascii="Arial" w:cs="Arial" w:eastAsia="Arial" w:hAnsi="Arial"/>
                <w:b w:val="false"/>
                <w:bCs w:val="false"/>
                <w:sz w:val="20"/>
                <w:szCs w:val="20"/>
              </w:rPr>
              <w:t xml:space="preserve">TD-03 §5.4–5.5 (Merge Algorithm, Post-Merge Pipeline)</w:t>
            </w:r>
          </w:p>
          <w:p>
            <w:pPr>
              <w:spacing w:after="40"/>
            </w:pPr>
            <w:r>
              <w:rPr>
                <w:rFonts w:ascii="Arial" w:cs="Arial" w:eastAsia="Arial" w:hAnsi="Arial"/>
                <w:b w:val="false"/>
                <w:bCs w:val="false"/>
                <w:sz w:val="20"/>
                <w:szCs w:val="20"/>
              </w:rPr>
              <w:t xml:space="preserve">TD-07 §6, §8 (Sync errors, Conflict resolution)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7C
Conflict UI &amp;
Offline Hardening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S17 — Real-World Application Layer</w:t>
            </w:r>
          </w:p>
          <w:p>
            <w:pPr>
              <w:spacing w:after="40"/>
            </w:pPr>
            <w:r>
              <w:rPr>
                <w:rFonts w:ascii="Arial" w:cs="Arial" w:eastAsia="Arial" w:hAnsi="Arial"/>
                <w:b w:val="false"/>
                <w:bCs w:val="false"/>
                <w:sz w:val="20"/>
                <w:szCs w:val="20"/>
              </w:rPr>
              <w:t xml:space="preserve">S15 — Branding &amp; Design System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TD-01 §2.9, §3.3 (Schema gating, Token lifecycle)</w:t>
            </w:r>
          </w:p>
          <w:p>
            <w:pPr>
              <w:spacing w:after="40"/>
            </w:pPr>
            <w:r>
              <w:rPr>
                <w:rFonts w:ascii="Arial" w:cs="Arial" w:eastAsia="Arial" w:hAnsi="Arial"/>
                <w:b w:val="false"/>
                <w:bCs w:val="false"/>
                <w:sz w:val="20"/>
                <w:szCs w:val="20"/>
              </w:rPr>
              <w:t xml:space="preserve">TD-07 §6, §9, §12 (Sync, Auth, Graceful degradation)</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Phase 8
Polish &amp;
Hardening</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S10 — Settings &amp; Configuration</w:t>
            </w:r>
          </w:p>
          <w:p>
            <w:pPr>
              <w:spacing w:after="40"/>
            </w:pPr>
            <w:r>
              <w:rPr>
                <w:rFonts w:ascii="Arial" w:cs="Arial" w:eastAsia="Arial" w:hAnsi="Arial"/>
                <w:b w:val="false"/>
                <w:bCs w:val="false"/>
                <w:sz w:val="20"/>
                <w:szCs w:val="20"/>
              </w:rPr>
              <w:t xml:space="preserve">S11 — Metrics Integrity</w:t>
            </w:r>
          </w:p>
          <w:p>
            <w:pPr>
              <w:spacing w:after="40"/>
            </w:pPr>
            <w:r>
              <w:rPr>
                <w:rFonts w:ascii="Arial" w:cs="Arial" w:eastAsia="Arial" w:hAnsi="Arial"/>
                <w:b w:val="false"/>
                <w:bCs w:val="false"/>
                <w:sz w:val="20"/>
                <w:szCs w:val="20"/>
              </w:rPr>
              <w:t xml:space="preserve">S15 — Branding &amp; Design System</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S12 — UI/UX Structural Architecture</w:t>
            </w:r>
          </w:p>
          <w:p>
            <w:pPr>
              <w:spacing w:after="40"/>
            </w:pPr>
            <w:r>
              <w:rPr>
                <w:rFonts w:ascii="Arial" w:cs="Arial" w:eastAsia="Arial" w:hAnsi="Arial"/>
                <w:b w:val="false"/>
                <w:bCs w:val="false"/>
                <w:sz w:val="20"/>
                <w:szCs w:val="20"/>
              </w:rPr>
              <w:t xml:space="preserve">S17 §17.3.5 (Storage monitoring)</w:t>
            </w:r>
          </w:p>
          <w:p>
            <w:pPr>
              <w:spacing w:after="40"/>
            </w:pPr>
            <w:r>
              <w:rPr>
                <w:rFonts w:ascii="Arial" w:cs="Arial" w:eastAsia="Arial" w:hAnsi="Arial"/>
                <w:b w:val="false"/>
                <w:bCs w:val="false"/>
                <w:sz w:val="20"/>
                <w:szCs w:val="20"/>
              </w:rPr>
              <w:t xml:space="preserve">TD-07 §7, §13, §14 (System errors, Partial save, Data integrity)</w:t>
            </w:r>
          </w:p>
          <w:p>
            <w:pPr>
              <w:spacing w:after="40"/>
            </w:pPr>
            <w:r>
              <w:rPr>
                <w:rFonts w:ascii="Arial" w:cs="Arial" w:eastAsia="Arial" w:hAnsi="Arial"/>
                <w:b w:val="false"/>
                <w:bCs w:val="false"/>
                <w:sz w:val="20"/>
                <w:szCs w:val="20"/>
              </w:rPr>
              <w:t xml:space="preserve">TD-06 §18–19 (Data migration, Deferred items)</w:t>
            </w:r>
          </w:p>
        </w:tc>
      </w:tr>
    </w:tbl>
    <w:p>
      <w:pPr>
        <w:pStyle w:val="Heading2"/>
      </w:pPr>
      <w:r>
        <w:rPr>
          <w:b/>
          <w:bCs/>
        </w:rPr>
        <w:t xml:space="preserve">3.3 Context Loading Rules</w:t>
      </w:r>
    </w:p>
    <w:p>
      <w:pPr>
        <w:spacing w:after="120"/>
      </w:pPr>
      <w:r>
        <w:rPr>
          <w:rFonts w:ascii="Arial" w:cs="Arial" w:eastAsia="Arial" w:hAnsi="Arial"/>
          <w:sz w:val="22"/>
          <w:szCs w:val="22"/>
        </w:rPr>
        <w:t xml:space="preserve">Rule 1 — Phase boundary enforcement. Claude Code must not load documents for a future phase. If a task requires understanding a future phase’s scope, load only the phase summary row from TD-06 §2, not the full phase section.</w:t>
      </w:r>
    </w:p>
    <w:p>
      <w:pPr>
        <w:spacing w:after="120"/>
      </w:pPr>
      <w:r>
        <w:rPr>
          <w:rFonts w:ascii="Arial" w:cs="Arial" w:eastAsia="Arial" w:hAnsi="Arial"/>
          <w:sz w:val="22"/>
          <w:szCs w:val="22"/>
        </w:rPr>
        <w:t xml:space="preserve">Rule 2 — Additive loading. If a task within a phase requires a document not listed in the phase context table, the operator may add it. The phase context table defines the minimum set, not the maximum. However, operator-added documents must belong to the current phase or a prior phase. Loading a document that belongs to a future phase requires explicit justification recorded in the session prompt. This prevents accidental scope contamination — for example, loading the full Phase 7B merge specification during a Phase 3 session would risk Claude Code designing repository methods around merge concerns that are not yet relevant.</w:t>
      </w:r>
    </w:p>
    <w:p>
      <w:pPr>
        <w:spacing w:after="120"/>
      </w:pPr>
      <w:r>
        <w:rPr>
          <w:rFonts w:ascii="Arial" w:cs="Arial" w:eastAsia="Arial" w:hAnsi="Arial"/>
          <w:sz w:val="22"/>
          <w:szCs w:val="22"/>
        </w:rPr>
        <w:t xml:space="preserve">Rule 3 — Extract discipline. When a section reference specifies paragraph numbers (e.g. §3.3.2), only those paragraphs are loaded. This prevents context window saturation with irrelevant material.</w:t>
      </w:r>
    </w:p>
    <w:p>
      <w:pPr>
        <w:spacing w:after="120"/>
      </w:pPr>
      <w:r>
        <w:rPr>
          <w:rFonts w:ascii="Arial" w:cs="Arial" w:eastAsia="Arial" w:hAnsi="Arial"/>
          <w:sz w:val="22"/>
          <w:szCs w:val="22"/>
        </w:rPr>
        <w:t xml:space="preserve">Rule 4 — CLAUDE.md always wins. If a document extract and CLAUDE.md contain the same information, CLAUDE.md governs. CLAUDE.md is updated as phases complete; document extracts are static.</w:t>
      </w:r>
    </w:p>
    <w:p>
      <w:pPr>
        <w:spacing w:after="120"/>
      </w:pPr>
      <w:r>
        <w:rPr>
          <w:rFonts w:ascii="Arial" w:cs="Arial" w:eastAsia="Arial" w:hAnsi="Arial"/>
          <w:sz w:val="22"/>
          <w:szCs w:val="22"/>
        </w:rPr>
        <w:t xml:space="preserve">Rule 5 — No document omission. If the always-loaded or phase-specific context table lists a document for the current phase, it must be loaded. Omitting a listed document is a configuration error.</w:t>
      </w:r>
    </w:p>
    <w:p>
      <w:r>
        <w:br w:type="page"/>
      </w:r>
    </w:p>
    <w:p>
      <w:pPr>
        <w:pStyle w:val="Heading1"/>
      </w:pPr>
      <w:r>
        <w:rPr>
          <w:b/>
          <w:bCs/>
        </w:rPr>
        <w:t xml:space="preserve">4. CLAUDE.md Governance</w:t>
      </w:r>
    </w:p>
    <w:p>
      <w:pPr>
        <w:spacing w:after="120"/>
      </w:pPr>
      <w:r>
        <w:rPr>
          <w:rFonts w:ascii="Arial" w:cs="Arial" w:eastAsia="Arial" w:hAnsi="Arial"/>
          <w:sz w:val="22"/>
          <w:szCs w:val="22"/>
        </w:rPr>
        <w:t xml:space="preserve">CLAUDE.md resides at the project root and is automatically loaded by Claude Code at the start of every session. It provides persistent context that survives across sessions: project conventions, directory structure, naming rules, and the source-of-truth hierarchy. CLAUDE.md is a living document that is updated as phases complete.</w:t>
      </w:r>
    </w:p>
    <w:p>
      <w:pPr>
        <w:pStyle w:val="Heading2"/>
      </w:pPr>
      <w:r>
        <w:rPr>
          <w:b/>
          <w:bCs/>
        </w:rPr>
        <w:t xml:space="preserve">4.1 CLAUDE.md Structure</w:t>
      </w:r>
    </w:p>
    <w:p>
      <w:pPr>
        <w:spacing w:after="120"/>
      </w:pPr>
      <w:r>
        <w:rPr>
          <w:rFonts w:ascii="Arial" w:cs="Arial" w:eastAsia="Arial" w:hAnsi="Arial"/>
          <w:sz w:val="22"/>
          <w:szCs w:val="22"/>
        </w:rPr>
        <w:t xml:space="preserve">The CLAUDE.md file is divided into the following sections. Each section has a defined owner (who updates it) and update trigger (when it is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1600"/>
        <w:gridCol w:w="21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Section</w:t>
            </w:r>
          </w:p>
        </w:tc>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Content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Owner</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Update Trigger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Project Identity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Application name, description, target platform, technology stack summary (Flutter, Supabase, Drift, Riverpod).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TD-08</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Initial creation only.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Spec Version Registry</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Table mapping each spec document ID to its current version string. Used to verify context documents are current.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Operator</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When any spec document is revised.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Source-of-Truth Hierarchy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Precedence rules: TD documents &gt; Product Spec when conflicts exist. S00 governs terminology. CLAUDE.md governs conventions.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TD-08</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Initial creation only.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Current Build Phase</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Active phase number (e.g. “Phase 2A”) and one-line scope summary. Claude Code must not generate code outside this scope.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Operator</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At the start of each new phase.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Directory Architecture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folder tree with purpose annotations. Mirrors TD-06 §3.1.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Operator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When a phase adds new directories.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Naming Conventions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File, class, function, variable, database column, and API naming rules (§5.2).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TD-08</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Initial creation only.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Code Comment Conventions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When to comment, comment style, spec reference format (§5.3).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TD-08</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Initial creation only.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Design Token Reference</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Colour tokens, typography, spacing, shape values from S15. Quick-reference for every UI session.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Operator</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After Phase 1 establishes the design system.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Error Handling Quick Reference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Exception class names, propagation pattern summary, log level rules. Condensed from TD-07.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Operator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After Phase 1 establishes the error hierarchy.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Phase Completion Log</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Dated entries recording which phases are complete and any deviations from TD-06.</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Operator</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At the end of each phase.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Known Deviations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Any implementation decisions that deviate from the spec, with rationale and spec reference.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Operator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When a deviation is accepted.</w:t>
            </w:r>
          </w:p>
        </w:tc>
      </w:tr>
    </w:tbl>
    <w:p>
      <w:pPr>
        <w:pStyle w:val="Heading2"/>
      </w:pPr>
      <w:r>
        <w:rPr>
          <w:b/>
          <w:bCs/>
        </w:rPr>
        <w:t xml:space="preserve">4.2 CLAUDE.md Update Rules</w:t>
      </w:r>
    </w:p>
    <w:p>
      <w:pPr>
        <w:spacing w:after="120"/>
      </w:pPr>
      <w:r>
        <w:rPr>
          <w:rFonts w:ascii="Arial" w:cs="Arial" w:eastAsia="Arial" w:hAnsi="Arial"/>
          <w:sz w:val="22"/>
          <w:szCs w:val="22"/>
        </w:rPr>
        <w:t xml:space="preserve">Rule 1 — Version gating. Before starting work, Claude Code must verify that the Spec Version Registry in CLAUDE.md matches the document versions loaded in the session context. If a mismatch is detected, Claude Code must flag it before proceeding.</w:t>
      </w:r>
    </w:p>
    <w:p>
      <w:pPr>
        <w:spacing w:after="120"/>
      </w:pPr>
      <w:r>
        <w:rPr>
          <w:rFonts w:ascii="Arial" w:cs="Arial" w:eastAsia="Arial" w:hAnsi="Arial"/>
          <w:sz w:val="22"/>
          <w:szCs w:val="22"/>
        </w:rPr>
        <w:t xml:space="preserve">Rule 2 — Phase lock. The Current Build Phase field in CLAUDE.md is the authoritative scope boundary. Claude Code must not generate code, tests, or configurations that belong to a future phase, even if the prompt asks for it.</w:t>
      </w:r>
    </w:p>
    <w:p>
      <w:pPr>
        <w:spacing w:after="120"/>
      </w:pPr>
      <w:r>
        <w:rPr>
          <w:rFonts w:ascii="Arial" w:cs="Arial" w:eastAsia="Arial" w:hAnsi="Arial"/>
          <w:sz w:val="22"/>
          <w:szCs w:val="22"/>
        </w:rPr>
        <w:t xml:space="preserve">Rule 3 — Deviation recording before implementation. If Claude Code discovers that an implementation decision conflicts with the spec (e.g. a Drift limitation prevents exact DDL replication), it must record the deviation in the Known Deviations section before implementing the deviating code. The record must include: the spec reference, the deviation description, and the rationale. This ordering is mandatory — recording after implementation risks the deviation being forgotten or under-documented.</w:t>
      </w:r>
    </w:p>
    <w:p>
      <w:pPr>
        <w:spacing w:after="120"/>
      </w:pPr>
      <w:r>
        <w:rPr>
          <w:rFonts w:ascii="Arial" w:cs="Arial" w:eastAsia="Arial" w:hAnsi="Arial"/>
          <w:sz w:val="22"/>
          <w:szCs w:val="22"/>
        </w:rPr>
        <w:t xml:space="preserve">Rule 4 — No arbitrary additions. CLAUDE.md must not contain information that is not sourced from the spec suite or from a recorded deviation. Claude Code must not invent conventions that are not defined in TD-08 §5.</w:t>
      </w:r>
    </w:p>
    <w:p>
      <w:pPr>
        <w:spacing w:after="120"/>
      </w:pPr>
      <w:r>
        <w:rPr>
          <w:rFonts w:ascii="Arial" w:cs="Arial" w:eastAsia="Arial" w:hAnsi="Arial"/>
          <w:sz w:val="22"/>
          <w:szCs w:val="22"/>
        </w:rPr>
        <w:t xml:space="preserve">Rule 5 — No invented architecture. Claude Code must not introduce new architectural layers, abstraction tiers, service wrappers, or structural patterns that are not explicitly defined in a TD document. Examples of prohibited inventions: an abstraction service layer not defined in TD-03, a DTO mapper pattern not in TD-03, an additional domain layer between Repository and Drift. If Claude Code believes an additional layer is necessary, it must flag this as an open issue for operator decision and record it as a Known Deviation before proceeding.</w:t>
      </w:r>
    </w:p>
    <w:p>
      <w:pPr>
        <w:spacing w:after="120"/>
      </w:pPr>
      <w:r>
        <w:rPr>
          <w:rFonts w:ascii="Arial" w:cs="Arial" w:eastAsia="Arial" w:hAnsi="Arial"/>
          <w:sz w:val="22"/>
          <w:szCs w:val="22"/>
        </w:rPr>
        <w:t xml:space="preserve">Rule 6 — CLAUDE.md must not introduce behavioural rules. CLAUDE.md may only summarise existing rules from the spec suite or record deviations from them. It must not become an informal policy layer that creates new constraints, overrides spec rules without deviation recording, or accumulates undocumented conventions. If a convention in CLAUDE.md cannot be traced to a specific TD or Product Spec source, it must be removed or recorded as a deviation.</w:t>
      </w:r>
    </w:p>
    <w:p>
      <w:r>
        <w:br w:type="page"/>
      </w:r>
    </w:p>
    <w:p>
      <w:pPr>
        <w:pStyle w:val="Heading1"/>
      </w:pPr>
      <w:r>
        <w:rPr>
          <w:b/>
          <w:bCs/>
        </w:rPr>
        <w:t xml:space="preserve">5. Codebase Conventions</w:t>
      </w:r>
    </w:p>
    <w:p>
      <w:pPr>
        <w:spacing w:after="120"/>
      </w:pPr>
      <w:r>
        <w:rPr>
          <w:rFonts w:ascii="Arial" w:cs="Arial" w:eastAsia="Arial" w:hAnsi="Arial"/>
          <w:sz w:val="22"/>
          <w:szCs w:val="22"/>
        </w:rPr>
        <w:t xml:space="preserve">These conventions are embedded in CLAUDE.md and enforced consistently across all Claude Code sessions. They prevent structural drift when multiple sessions build different parts of the application.</w:t>
      </w:r>
    </w:p>
    <w:p>
      <w:pPr>
        <w:pStyle w:val="Heading2"/>
      </w:pPr>
      <w:r>
        <w:rPr>
          <w:b/>
          <w:bCs/>
        </w:rPr>
        <w:t xml:space="preserve">5.1 Directory Architecture Standard</w:t>
      </w:r>
    </w:p>
    <w:p>
      <w:pPr>
        <w:spacing w:after="120"/>
      </w:pPr>
      <w:r>
        <w:rPr>
          <w:rFonts w:ascii="Arial" w:cs="Arial" w:eastAsia="Arial" w:hAnsi="Arial"/>
          <w:sz w:val="22"/>
          <w:szCs w:val="22"/>
        </w:rPr>
        <w:t xml:space="preserve">The project follows the feature-first directory structure established in TD-06 §3.1. The following is the canonical directory tree. Claude Code must place files in the correct directory. No new top-level directories may be created without operator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160"/>
        <w:gridCol w:w="170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Established In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lib/core/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Design tokens, theme, shared widgets, constants, error types.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1</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lib/core/scoring/</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Pure scoring functions (Phase 2A), reflow orchestration (Phase 2B).</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Phase 2A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lib/core/sync/</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Sync engine, merge algorithm, SyncWriteGate.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2.5</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lib/core/instrumentation/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Logging, diagnostics, profiling, dev tools.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Phase 2B</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lib/core/services/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TimerService and other shared service abstractions.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4</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lib/data/</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Drift database definition, DAOs, repository layer.</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Phase 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lib/data/dto/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Sync DTO serialisation classes.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2.5</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lib/features/drill/</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Drill browsing, creation, editing UI.</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Phase 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lib/features/bag/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Golf bag configuration UI.</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3</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lib/features/practice/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Live practice workflow UI.</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Phase 4</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lib/features/planning/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Routines, Schedules, Calendar UI.</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5</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lib/features/review/</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SkillScore dashboard, analysis screens.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Phase 6</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lib/features/settings/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Settings screens.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8</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lib/providers/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Riverpod providers, organised by domain.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Phase 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test/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Mirrors lib/ structure. Unit and integration tests.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1</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test/fixtures/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Shared test data builders and factory methods.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Phase 2A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supabase/migrations/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001_create_schema.sql, 002_seed_reference_data.sql, etc.</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2.5</w:t>
            </w:r>
          </w:p>
        </w:tc>
      </w:tr>
    </w:tbl>
    <w:p>
      <w:pPr>
        <w:pStyle w:val="Heading2"/>
      </w:pPr>
      <w:r>
        <w:rPr>
          <w:b/>
          <w:bCs/>
        </w:rPr>
        <w:t xml:space="preserve">5.2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Element</w:t>
            </w:r>
          </w:p>
        </w:tc>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Convention</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Examples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Dart files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snake_case.dart. One public class per file. File name matches class name.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scoring_repository.dart, practice_block.dart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Dart classes / types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UpperCamelCase. Suffix with purpose: Repository, Provider, Service, Widget, State, Exception.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ScoringRepository, PracticeBlockState, DrillWidget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Dart functions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lowerCamelCase. Verb-first for actions. Noun-first for getters.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closeSession(), executeReflow(), getDrillById()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Dart variables / fields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lowerCamelCase. No abbreviations except universally understood (id, url, dto).</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sessionScore, practiceBlock, userId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Dart constants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lowerCamelCase with k prefix for non-obvious constants. Enum-like constants in SCREAMING_SNAKE_CASE only in enums.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kMaxWindowOccupancy = 25.0, kTransitionWeight = 0.35</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Riverpod providers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lowerCamelCase + Provider suffix. Match the repository or service they expose.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scoringRepositoryProvider, drillRepositoryProvider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Drift tables (Dart)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UpperCamelCase plural for table class. Singular for companion row class (Drift convention).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class Sessions extends Table {}, Session row class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Database columns (SQL/Drift)</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UpperCamelCase matching entity field names in S06. Drift generates snake_case SQL from these.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UserID, CompletionTimestamp, IsDeleted, UpdatedAt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Supabase RPC functions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snake_case. Verb_noun pattern.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sync_upload, sync_download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Test files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snake_case_test.dart. Match the file under test.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scoring_repository_test.dart, instance_scoring_test.dart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Test methods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Descriptive sentence with underscores or descriptive lowerCamelCase. Clearly state the scenario.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test('scoreInstance returns 0 when rawValue below min')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JSON keys (RawMetrics, Anchors)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camelCase matching the field names in TD-03 §9 payload shapes.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hitRate, carryDistance, minAnchor, scratchAnchor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Feature branch names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phase/N-short-description. Lowercase with hyphens.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phase/2a-pure-scoring, phase/4-live-practice</w:t>
            </w:r>
          </w:p>
        </w:tc>
      </w:tr>
    </w:tbl>
    <w:p>
      <w:pPr>
        <w:pStyle w:val="Heading2"/>
      </w:pPr>
      <w:r>
        <w:rPr>
          <w:b/>
          <w:bCs/>
        </w:rPr>
        <w:t xml:space="preserve">5.3 Code Comment Conventions</w:t>
      </w:r>
    </w:p>
    <w:p>
      <w:pPr>
        <w:spacing w:after="120"/>
      </w:pPr>
      <w:r>
        <w:rPr>
          <w:rFonts w:ascii="Arial" w:cs="Arial" w:eastAsia="Arial" w:hAnsi="Arial"/>
          <w:sz w:val="22"/>
          <w:szCs w:val="22"/>
        </w:rPr>
        <w:t xml:space="preserve">Comments exist to link implementation to specification, explain non-obvious decisions, and mark phase boundaries. Claude Code must not write comments that restate what the code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Comment Type</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Format</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When 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Spec reference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Spec: S07 §7.2 — Reflow trigger: anchor edit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Every method that implements a specific spec rule. Links auditable implementation to spec source.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TD reference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 TD-04 §3.2 Step 4 — Scope determination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Every method that implements a specific TD design decision.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Deviation note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DEVIATION: TD-02 specifies CHECK constraint; Drift enforces via Dart validation. See CLAUDE.md Known Deviations.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Every implementation that deviates from spec.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Phase boundary</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 Phase 3 stub — replaced in Phase 5 (completion matching)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Every stub placeholder that will be replaced in a future phase.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Non-obvious logic</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Dual-mapped drills contribute 0.5 to each subskill window, not 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Complex business logic where the reasoning is not self-evident from the code.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No comment required</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Standard CRUD operations, obvious Dart idioms, self-descriptive method names.</w:t>
            </w:r>
          </w:p>
        </w:tc>
      </w:tr>
    </w:tbl>
    <w:p>
      <w:pPr>
        <w:spacing w:after="120"/>
      </w:pPr>
      <w:r>
        <w:rPr>
          <w:rFonts w:ascii="Arial" w:cs="Arial" w:eastAsia="Arial" w:hAnsi="Arial"/>
          <w:sz w:val="22"/>
          <w:szCs w:val="22"/>
        </w:rPr>
        <w:t xml:space="preserve">Comment density target: approximately one spec or TD reference comment per public method in the repository and scoring layers. UI widget code requires fewer comments; the spec section reference in the file header is usually sufficient.</w:t>
      </w:r>
    </w:p>
    <w:p>
      <w:pPr>
        <w:pStyle w:val="Heading2"/>
      </w:pPr>
      <w:r>
        <w:rPr>
          <w:b/>
          <w:bCs/>
        </w:rPr>
        <w:t xml:space="preserve">5.4 Source-of-Truth Hierarchy</w:t>
      </w:r>
    </w:p>
    <w:p>
      <w:pPr>
        <w:spacing w:after="120"/>
      </w:pPr>
      <w:r>
        <w:rPr>
          <w:rFonts w:ascii="Arial" w:cs="Arial" w:eastAsia="Arial" w:hAnsi="Arial"/>
          <w:sz w:val="22"/>
          <w:szCs w:val="22"/>
        </w:rPr>
        <w:t xml:space="preserve">When documents conflict, the following precedence applies. Higher-numbered items take precedence over lower-numbered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446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Precedence</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Source</w:t>
            </w:r>
          </w:p>
        </w:tc>
        <w:tc>
          <w:tcPr>
            <w:tcW w:type="dxa" w:w="4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Rationale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(lowest)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Product Specification (S00–S17)</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Defines business rules and user-facing behaviour. Written first; may contain ambiguities resolved by TD documents.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Technical Design documents (TD-01–TD-08)</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Resolves implementation ambiguities in the product spec. Written later with full knowledge of the spec. TD documents are more specific and more recent.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CLAUDE.md Known Deviations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Records intentional departures from both spec and TD documents, with rationale. These represent reality.</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4 (highest)</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Operator instruction in session</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Real-time corrections or clarifications override all written documents for the current session. Any operator instruction that contradicts a TD or Product Spec rule must be recorded in Known Deviations before implementation proceeds (§4.2 Rule 3). This prevents offhand clarifications from silently overriding critical rules such as the scoring model or sync determinism.</w:t>
            </w:r>
          </w:p>
        </w:tc>
      </w:tr>
    </w:tbl>
    <w:p>
      <w:pPr>
        <w:spacing w:after="120"/>
      </w:pPr>
      <w:r>
        <w:rPr>
          <w:rFonts w:ascii="Arial" w:cs="Arial" w:eastAsia="Arial" w:hAnsi="Arial"/>
          <w:sz w:val="22"/>
          <w:szCs w:val="22"/>
        </w:rPr>
        <w:t xml:space="preserve">S00 (Canonical Definitions) has a special status: it governs terminology across all documents at all precedence levels. If a TD document uses a term differently from S00, S00 governs.</w:t>
      </w:r>
    </w:p>
    <w:p>
      <w:pPr>
        <w:pStyle w:val="Heading2"/>
      </w:pPr>
      <w:r>
        <w:rPr>
          <w:b/>
          <w:bCs/>
        </w:rPr>
        <w:t xml:space="preserve">5.5 Spec Version Tracking</w:t>
      </w:r>
    </w:p>
    <w:p>
      <w:pPr>
        <w:spacing w:after="120"/>
      </w:pPr>
      <w:r>
        <w:rPr>
          <w:rFonts w:ascii="Arial" w:cs="Arial" w:eastAsia="Arial" w:hAnsi="Arial"/>
          <w:sz w:val="22"/>
          <w:szCs w:val="22"/>
        </w:rPr>
        <w:t xml:space="preserve">The codebase records which specification version it was built against using two mechanisms.</w:t>
      </w:r>
    </w:p>
    <w:p>
      <w:pPr>
        <w:spacing w:after="120"/>
      </w:pPr>
      <w:r>
        <w:rPr>
          <w:rFonts w:ascii="Arial" w:cs="Arial" w:eastAsia="Arial" w:hAnsi="Arial"/>
          <w:b/>
          <w:bCs/>
          <w:sz w:val="22"/>
          <w:szCs w:val="22"/>
        </w:rPr>
        <w:t xml:space="preserve">Mechanism 1 — CLAUDE.md Spec Version Registry. </w:t>
      </w:r>
      <w:r>
        <w:rPr>
          <w:rFonts w:ascii="Arial" w:cs="Arial" w:eastAsia="Arial" w:hAnsi="Arial"/>
          <w:sz w:val="22"/>
          <w:szCs w:val="22"/>
        </w:rPr>
        <w:t xml:space="preserve">A table in CLAUDE.md maps each document ID (S00, S01, … S17, TD-01, … TD-08) to its version string (e.g. 0v.f1, TD-01v.a3). The operator updates this table when a spec document is revised. Claude Code checks this table at session start.</w:t>
      </w:r>
    </w:p>
    <w:p>
      <w:pPr>
        <w:spacing w:after="120"/>
      </w:pPr>
      <w:r>
        <w:rPr>
          <w:rFonts w:ascii="Arial" w:cs="Arial" w:eastAsia="Arial" w:hAnsi="Arial"/>
          <w:b/>
          <w:bCs/>
          <w:sz w:val="22"/>
          <w:szCs w:val="22"/>
        </w:rPr>
        <w:t xml:space="preserve">Mechanism 2 — Code-level spec references. </w:t>
      </w:r>
      <w:r>
        <w:rPr>
          <w:rFonts w:ascii="Arial" w:cs="Arial" w:eastAsia="Arial" w:hAnsi="Arial"/>
          <w:sz w:val="22"/>
          <w:szCs w:val="22"/>
        </w:rPr>
        <w:t xml:space="preserve">Comment references (// Spec: S07 §7.2) link code to the spec section that governs it. If a spec section is revised, a search for “Spec: S07” identifies all code that may need updating. This provides a lightweight traceability mechanism without introducing formal requirements management tooling.</w:t>
      </w:r>
    </w:p>
    <w:p>
      <w:pPr>
        <w:spacing w:after="120"/>
      </w:pPr>
      <w:r>
        <w:rPr>
          <w:rFonts w:ascii="Arial" w:cs="Arial" w:eastAsia="Arial" w:hAnsi="Arial"/>
          <w:sz w:val="22"/>
          <w:szCs w:val="22"/>
        </w:rPr>
        <w:t xml:space="preserve">No build-time version check is required. Version tracking is a human-readable audit trail, not an automated enforcement mechanism.</w:t>
      </w:r>
    </w:p>
    <w:p>
      <w:r>
        <w:br w:type="page"/>
      </w:r>
    </w:p>
    <w:p>
      <w:pPr>
        <w:pStyle w:val="Heading1"/>
      </w:pPr>
      <w:r>
        <w:rPr>
          <w:b/>
          <w:bCs/>
        </w:rPr>
        <w:t xml:space="preserve">6. Prompt Templates</w:t>
      </w:r>
    </w:p>
    <w:p>
      <w:pPr>
        <w:spacing w:after="120"/>
      </w:pPr>
      <w:r>
        <w:rPr>
          <w:rFonts w:ascii="Arial" w:cs="Arial" w:eastAsia="Arial" w:hAnsi="Arial"/>
          <w:sz w:val="22"/>
          <w:szCs w:val="22"/>
        </w:rPr>
        <w:t xml:space="preserve">The following templates define the standard prompt structure for each type of Claude Code task. The operator customises the template parameters for each session. The structure ensures Claude Code receives consistent, complete instructions.</w:t>
      </w:r>
    </w:p>
    <w:p>
      <w:pPr>
        <w:pStyle w:val="Heading2"/>
      </w:pPr>
      <w:r>
        <w:rPr>
          <w:b/>
          <w:bCs/>
        </w:rPr>
        <w:t xml:space="preserve">6.1 New Module Prompt</w:t>
      </w:r>
    </w:p>
    <w:p>
      <w:pPr>
        <w:spacing w:after="120"/>
      </w:pPr>
      <w:r>
        <w:rPr>
          <w:rFonts w:ascii="Arial" w:cs="Arial" w:eastAsia="Arial" w:hAnsi="Arial"/>
          <w:sz w:val="22"/>
          <w:szCs w:val="22"/>
        </w:rPr>
        <w:t xml:space="preserve">Used when building a new feature module within the current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Section</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Content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Context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You are working on Phase [N] of the ZX Golf App build. Scope: [one-line summary from TD-06]. Do not implement anything outside this phase scope.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Task</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Implement [module name]. This module covers: [bullet list of deliverables from TD-06 for this task].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Spec References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following specification sections govern this module: [list loaded documents with section numbers]. Read them carefully before generating code.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Conventions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Follow all conventions in CLAUDE.md. In particular: [highlight any conventions especially relevant to this module].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Stubs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following dependencies are stubbed for this phase: [list from TD-06 stubs section]. Do not implement stub internals.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Acceptance Criteria</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This module is complete when: [paste relevant acceptance criteria from TD-06].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 Format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Generate files in the correct directory per CLAUDE.md directory architecture. Include spec reference comments. Include unit tests in the corresponding test/ directory if automated tests are required for this module.</w:t>
            </w:r>
          </w:p>
        </w:tc>
      </w:tr>
    </w:tbl>
    <w:p>
      <w:pPr>
        <w:pStyle w:val="Heading2"/>
      </w:pPr>
      <w:r>
        <w:rPr>
          <w:b/>
          <w:bCs/>
        </w:rPr>
        <w:t xml:space="preserve">6.2 Test Writing Prompt</w:t>
      </w:r>
    </w:p>
    <w:p>
      <w:pPr>
        <w:spacing w:after="120"/>
      </w:pPr>
      <w:r>
        <w:rPr>
          <w:rFonts w:ascii="Arial" w:cs="Arial" w:eastAsia="Arial" w:hAnsi="Arial"/>
          <w:sz w:val="22"/>
          <w:szCs w:val="22"/>
        </w:rPr>
        <w:t xml:space="preserve">Used when generating automated tests for a completed or in-progress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Section</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Content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Context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You are writing tests for Phase [N] of the ZX Golf App build.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Test Source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Implement the following test cases from TD-05: [list specific sections, e.g. §4.1–4.6 for Instance scoring]. Each test case is defined as Given → When → Then with exact expected values.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Test Framework</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 Flutter’s test package. Group tests by section. Use descriptive test names that reference the TD-05 section (e.g. “TD-05 §4.1 — Grid Cell Selection hit-rate scoring”).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Precision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All numeric assertions use 1e-9 tolerance (TD-05 §2.2). No intermediate rounding.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Fixtures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Place shared test data builders in test/fixtures/. Reuse existing fixtures where available.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Coverage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Every test case listed in the Test Source section must have a corresponding test method. The test runner must report 100% pass rate for the specified sections.</w:t>
            </w:r>
          </w:p>
        </w:tc>
      </w:tr>
    </w:tbl>
    <w:p>
      <w:pPr>
        <w:pStyle w:val="Heading2"/>
      </w:pPr>
      <w:r>
        <w:rPr>
          <w:b/>
          <w:bCs/>
        </w:rPr>
        <w:t xml:space="preserve">6.3 Bug Fix Prompt</w:t>
      </w:r>
    </w:p>
    <w:p>
      <w:pPr>
        <w:spacing w:after="120"/>
      </w:pPr>
      <w:r>
        <w:rPr>
          <w:rFonts w:ascii="Arial" w:cs="Arial" w:eastAsia="Arial" w:hAnsi="Arial"/>
          <w:sz w:val="22"/>
          <w:szCs w:val="22"/>
        </w:rPr>
        <w:t xml:space="preserve">Used when Claude Code must diagnose and fix a defect.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Section</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Content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Symptom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Describe the observed behaviour: [what happens, when, with what inputs].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Expected Behaviour</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Per [spec reference], the correct behaviour is: [paste the spec rule that defines correct behaviour].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Reproduction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[Steps to reproduce, or the failing test case name and output].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Scope Constraint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Fix must not alter behaviour outside the affected module. If the fix requires a design change, flag it as a potential deviation before implementing.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Verification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fix is complete when: [the specific test case passes / the acceptance criterion is met].</w:t>
            </w:r>
          </w:p>
        </w:tc>
      </w:tr>
    </w:tbl>
    <w:p>
      <w:pPr>
        <w:pStyle w:val="Heading2"/>
      </w:pPr>
      <w:r>
        <w:rPr>
          <w:b/>
          <w:bCs/>
        </w:rPr>
        <w:t xml:space="preserve">6.4 Refactoring Prompt</w:t>
      </w:r>
    </w:p>
    <w:p>
      <w:pPr>
        <w:spacing w:after="120"/>
      </w:pPr>
      <w:r>
        <w:rPr>
          <w:rFonts w:ascii="Arial" w:cs="Arial" w:eastAsia="Arial" w:hAnsi="Arial"/>
          <w:sz w:val="22"/>
          <w:szCs w:val="22"/>
        </w:rPr>
        <w:t xml:space="preserve">Used when restructuring existing code without changing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Section</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Content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Motivation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Describe why the refactoring is needed: [e.g. preparing for Phase 7B merge logic, extracting shared utility].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Scope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Refactoring is limited to: [list files or modules affected].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Invariant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existing tests must pass before and after the refactoring. No test modifications are permitted unless a test is testing internal implementation details rather than behaviour.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Conventions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The refactored code must comply with CLAUDE.md conventions. This is an opportunity to correct any naming or structure drift.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Provide the refactored files and confirm all tests pass.</w:t>
            </w:r>
          </w:p>
        </w:tc>
      </w:tr>
    </w:tbl>
    <w:p>
      <w:r>
        <w:br w:type="page"/>
      </w:r>
    </w:p>
    <w:p>
      <w:pPr>
        <w:pStyle w:val="Heading1"/>
      </w:pPr>
      <w:r>
        <w:rPr>
          <w:b/>
          <w:bCs/>
        </w:rPr>
        <w:t xml:space="preserve">7. Verification Checkpoints</w:t>
      </w:r>
    </w:p>
    <w:p>
      <w:pPr>
        <w:spacing w:after="120"/>
      </w:pPr>
      <w:r>
        <w:rPr>
          <w:rFonts w:ascii="Arial" w:cs="Arial" w:eastAsia="Arial" w:hAnsi="Arial"/>
          <w:sz w:val="22"/>
          <w:szCs w:val="22"/>
        </w:rPr>
        <w:t xml:space="preserve">At the end of each Claude Code session, the operator verifies output against the spec using the following checkpoint categories. Not every checkpoint applies to every session; the operator selects the relevant checks.</w:t>
      </w:r>
    </w:p>
    <w:p>
      <w:pPr>
        <w:pStyle w:val="Heading2"/>
      </w:pPr>
      <w:r>
        <w:rPr>
          <w:b/>
          <w:bCs/>
        </w:rPr>
        <w:t xml:space="preserve">7.1 Structural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Checkpoint</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Verification Method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Files in correct directories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Compare generated file paths against CLAUDE.md directory architecture.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Naming conventions followed</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Spot-check: file names (snake_case), class names (UpperCamelCase + suffix), provider names (lowerCamelCase + Provider).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future-phase code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Search for class names, imports, or features that belong to a phase after the current one.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Stubs present and minimal</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Verify stub classes exist with correct method signatures but no implementation beyond what the current phase requires.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orphan files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Every generated file is either imported by another file or is a test file.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No invented architecture</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No new layers, services, or abstraction tiers exist that are not defined in TD-03 or another TD document. Every class must trace to a TD-defined pattern (§4.2 Rule 5).</w:t>
            </w:r>
          </w:p>
        </w:tc>
      </w:tr>
    </w:tbl>
    <w:p>
      <w:pPr>
        <w:pStyle w:val="Heading2"/>
      </w:pPr>
      <w:r>
        <w:rPr>
          <w:b/>
          <w:bCs/>
        </w:rPr>
        <w:t xml:space="preserve">7.2 Behavioural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Checkpoint</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Verification Method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Acceptance criteria met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Walk through each acceptance criterion from TD-06 for the current phase. Verify manually or via test output.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Required tests pass</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Run test suite. All tests for the current phase must pass (100% for automated test phases).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Spec rule compliance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 each spec reference comment in the generated code, verify the implementation matches the referenced spec rule.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State machine guard enforcement</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For phases with state machines (3, 4, 5, 7B): verify every prohibited transition in TD-04 is guarded.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Error handling present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Verify repository methods return ZxGolfAppException subclasses per TD-07. No raw exceptions escape the repository layer.</w:t>
            </w:r>
          </w:p>
        </w:tc>
      </w:tr>
    </w:tbl>
    <w:p>
      <w:pPr>
        <w:pStyle w:val="Heading2"/>
      </w:pPr>
      <w:r>
        <w:rPr>
          <w:b/>
          <w:bCs/>
        </w:rPr>
        <w:t xml:space="preserve">7.3 Data Integrity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Checkpoint</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Verification Method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DDL alignment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Compare Drift table definitions against TD-02. Every NOT NULL, DEFAULT, and FK must match.</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Seed data completeness</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Verify all seed data from TD-02 is loaded: 19 Subskills (allocations sum to 1000), 28 System Drills, 13 EventTypes, 8 MetricSchemas.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Sync column presence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Every synced table has UpdatedAt and IsDeleted. EventLog has CreatedAt only.</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Materialised table isolation</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Materialised tables are local-only. No sync DTO references them. No RLS policy references them.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JSON payload shape compliance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RawMetrics, Anchors, SubskillMapping, Slots, and Entries JSON structures match TD-03 §9 exactly.</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DTO-to-DDL consistency</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For phases that modify Drift entity shapes (Phases 3–8) or DTO serialisation (Phases 2.5, 7A): verify that every synced entity’s DTO serialisation round-trips correctly against the current Drift schema. A Drift column addition or type change without a corresponding DTO update produces silent sync data loss. This check is mandatory before any phase that touches both data layers is marked complete.</w:t>
            </w:r>
          </w:p>
        </w:tc>
      </w:tr>
    </w:tbl>
    <w:p>
      <w:pPr>
        <w:pStyle w:val="Heading2"/>
      </w:pPr>
      <w:r>
        <w:rPr>
          <w:b/>
          <w:bCs/>
        </w:rPr>
        <w:t xml:space="preserve">7.4 Performance Verification</w:t>
      </w:r>
    </w:p>
    <w:p>
      <w:pPr>
        <w:spacing w:after="120"/>
      </w:pPr>
      <w:r>
        <w:rPr>
          <w:rFonts w:ascii="Arial" w:cs="Arial" w:eastAsia="Arial" w:hAnsi="Arial"/>
          <w:sz w:val="22"/>
          <w:szCs w:val="22"/>
        </w:rPr>
        <w:t xml:space="preserve">Performance verification applies to specific phases as defined in TD-06. Performance targets are hard phase gates: if a performance target listed below is not met for the current phase, the phase cannot be marked complete. This is consistent with TD-06’s instrumentation-first design decision and TD-01’s deterministic reflow model, which requires predictable performance under defined data volumes.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160"/>
        <w:gridCol w:w="260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Performance Check</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Target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 launch on Pixel 5a emulator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3 seconds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Phase 2.5</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RLS 4-join query at 1,000 rows/table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&lt; 50ms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2B</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Scoped reflow at 500 Sessions / 5K Instances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150ms (p95)</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Phase 2B</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Full rebuild at 5K Sessions / 50K Instances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&lt; 1 second (p95)</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2B</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Peak heap during 50K Instance rebuild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256MB</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Phase 6</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Dashboard cold-start from materialised tables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&lt; 1 second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7A</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RLS query at 100K Instances, cold cache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200ms</w:t>
            </w:r>
          </w:p>
        </w:tc>
      </w:tr>
    </w:tbl>
    <w:p>
      <w:pPr>
        <w:spacing w:after="120"/>
      </w:pPr>
      <w:r>
        <w:rPr>
          <w:rFonts w:ascii="Arial" w:cs="Arial" w:eastAsia="Arial" w:hAnsi="Arial"/>
          <w:sz w:val="22"/>
          <w:szCs w:val="22"/>
        </w:rPr>
        <w:t xml:space="preserve">Measurement discipline: all performance measurements must be reproducible. Latency targets (p50, p95, p99) are captured using the profiling benchmark harness built in Phase 2B (TD-06 §7.1.2), which executes the operation over 10 consecutive runs and reports percentile timings. Heap allocation is captured via Dart’s ProcessInfo or equivalent runtime introspection. App launch timing uses Android’s reported time-to-first-frame on the Pixel 5a emulator baseline (TD-01 §4.2). Each performance measurement recorded in the Phase Completion Log must include: the harness or tool used, the data volume under test, and the observed p95 value. Subjective timing estimates (e.g. “felt fast enough”) are not acceptable evidence of target compliance.</w:t>
      </w:r>
    </w:p>
    <w:p>
      <w:r>
        <w:br w:type="page"/>
      </w:r>
    </w:p>
    <w:p>
      <w:pPr>
        <w:pStyle w:val="Heading1"/>
      </w:pPr>
      <w:r>
        <w:rPr>
          <w:b/>
          <w:bCs/>
        </w:rPr>
        <w:t xml:space="preserve">8. Session Workflow</w:t>
      </w:r>
    </w:p>
    <w:p>
      <w:pPr>
        <w:spacing w:after="120"/>
      </w:pPr>
      <w:r>
        <w:rPr>
          <w:rFonts w:ascii="Arial" w:cs="Arial" w:eastAsia="Arial" w:hAnsi="Arial"/>
          <w:sz w:val="22"/>
          <w:szCs w:val="22"/>
        </w:rPr>
        <w:t xml:space="preserve">Every Claude Code session follows this sequence. Steps 1–3 are pre-session setup by the operator. Steps 4–6 are the Claude Code working session. Step 7 is post-session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Step</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Action</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Responsible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Update CLAUDE.md: set Current Build Phase, verify Spec Version Registry, update Directory Architecture if the previous phase added directories.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Operator</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Assemble context: load always-loaded documents + phase-specific documents per §3.2.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Operator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Select prompt template (§6.1–6.4) and customise parameters for the specific task.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Operator</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Claude Code reads CLAUDE.md. Verifies Spec Version Registry matches loaded documents. Flags any mismatch.</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Claude Code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 Code executes the task per the prompt. Generates code, tests, and spec reference comments. Records any deviations.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 Code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Claude Code outputs a session summary: files created/modified, tests written, deviations recorded, known issues.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Claude Code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Operator runs verification checkpoints (§7). Updates CLAUDE.md Phase Completion Log if phase is complete.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Operator</w:t>
            </w:r>
          </w:p>
        </w:tc>
      </w:tr>
    </w:tbl>
    <w:p>
      <w:pPr>
        <w:pStyle w:val="Heading2"/>
      </w:pPr>
      <w:r>
        <w:rPr>
          <w:b/>
          <w:bCs/>
        </w:rPr>
        <w:t xml:space="preserve">8.1 Session Summary Format</w:t>
      </w:r>
    </w:p>
    <w:p>
      <w:pPr>
        <w:spacing w:after="120"/>
      </w:pPr>
      <w:r>
        <w:rPr>
          <w:rFonts w:ascii="Arial" w:cs="Arial" w:eastAsia="Arial" w:hAnsi="Arial"/>
          <w:sz w:val="22"/>
          <w:szCs w:val="22"/>
        </w:rPr>
        <w:t xml:space="preserve">At the end of every working session, Claude Code must output a structured summary containing the following fields. This enables the operator to quickly verify output and maintain the Phase Completion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Content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Current build phase (e.g. Phase 2A).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Task</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One-line description of what was built or fixed.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Files Created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List of new files with their directory paths.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Files Modified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List of modified files with a brief description of changes.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Tests Written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Count of new test methods and which TD-05/TD-06 sections they cover.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Tests Passing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Count of passing tests out of total. Must be 100% for the session’s scope.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Deviations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Any new entries for the Known Deviations section of CLAUDE.md, or “None.”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Stubs Created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Any new stubs for future phases, with the target phase noted.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 Issues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Any unresolved questions or issues requiring operator decision.</w:t>
            </w:r>
          </w:p>
        </w:tc>
      </w:tr>
    </w:tbl>
    <w:p>
      <w:r>
        <w:br w:type="page"/>
      </w:r>
    </w:p>
    <w:p>
      <w:pPr>
        <w:pStyle w:val="Heading1"/>
      </w:pPr>
      <w:r>
        <w:rPr>
          <w:b/>
          <w:bCs/>
        </w:rPr>
        <w:t xml:space="preserve">9. Draft CLAUDE.md</w:t>
      </w:r>
    </w:p>
    <w:p>
      <w:pPr>
        <w:spacing w:after="120"/>
      </w:pPr>
      <w:r>
        <w:rPr>
          <w:rFonts w:ascii="Arial" w:cs="Arial" w:eastAsia="Arial" w:hAnsi="Arial"/>
          <w:sz w:val="22"/>
          <w:szCs w:val="22"/>
        </w:rPr>
        <w:t xml:space="preserve">The following is the initial CLAUDE.md to be placed at the project root before Phase 1 begins. The operator maintains this file across sessions per the update rules in §4.2. Sections marked [PLACEHOLDER] are populated during or after the indicated phase.</w:t>
      </w:r>
    </w:p>
    <w:p>
      <w:pPr>
        <w:spacing w:after="120"/>
      </w:pPr>
      <w:r>
        <w:rPr>
          <w:rFonts w:ascii="Arial" w:cs="Arial" w:eastAsia="Arial" w:hAnsi="Arial"/>
          <w:sz w:val="22"/>
          <w:szCs w:val="22"/>
        </w:rPr>
        <w:t xml:space="preserve">The draft CLAUDE.md content is provided as a companion deliverable to this document. It is not embedded inline because CLAUDE.md is a Markdown file intended for the repository, not a subsection of a Word document. The companion file is named CLAUDE.md and follows the structure defined in §4.1.</w:t>
      </w:r>
    </w:p>
    <w:p>
      <w:pPr>
        <w:pStyle w:val="Heading1"/>
      </w:pPr>
      <w:r>
        <w:rPr>
          <w:b/>
          <w:bCs/>
        </w:rPr>
        <w:t xml:space="preserve">10. Dependency Map</w:t>
      </w:r>
    </w:p>
    <w:p>
      <w:pPr>
        <w:spacing w:after="120"/>
      </w:pPr>
      <w:r>
        <w:rPr>
          <w:rFonts w:ascii="Arial" w:cs="Arial" w:eastAsia="Arial" w:hAnsi="Arial"/>
          <w:sz w:val="22"/>
          <w:szCs w:val="22"/>
        </w:rPr>
        <w:t xml:space="preserve">TD-08 is consumed by the operator during Claude Code session setup. It does not have downstream TD document dependencies because it is the final document in the technical design sequence.</w:t>
      </w:r>
    </w:p>
    <w:p>
      <w:pPr>
        <w:spacing w:after="120"/>
      </w:pPr>
      <w:r>
        <w:rPr>
          <w:rFonts w:ascii="Arial" w:cs="Arial" w:eastAsia="Arial" w:hAnsi="Arial"/>
          <w:sz w:val="22"/>
          <w:szCs w:val="22"/>
        </w:rPr>
        <w:t xml:space="preserve">TD-08 depends on all preceding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Dependency</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What TD-08 Uses From 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TD-01</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Technology stack decisions govern CLAUDE.md project identity, naming conventions (Dart, Flutter, Riverpod patterns), and always-loaded context selection.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TD-02</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DDL schema defines the condensed schema reference for always-loaded context and the full schema for Phase 1 / Phase 2.5 loading.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TD-03</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 contract layer defines repository method signatures referenced in naming conventions and phase-specific context for repository work.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TD-04</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Entity state machines define the state machine guard verification checkpoint and phase-specific context for Phases 3, 4, 5, and 7B.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TD-05</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Scoring test cases define the test writing prompt template structure and Phase 2A/2B context requirements.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TD-06</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Phased Build Plan is the primary input. Phase definitions determine every row in the context loading table (§3.2), all acceptance criteria in verification checkpoints (§7), and the session workflow (§8).</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TD-07</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Error handling patterns define the always-loaded error context extracts and phase-specific error sections.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S00–S17</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All product specification sections are mapped to phases in the context loading table. Section content determines which phases require which documents.</w:t>
            </w:r>
          </w:p>
        </w:tc>
      </w:tr>
    </w:tbl>
    <w:p>
      <w:pPr>
        <w:pStyle w:val="Heading1"/>
      </w:pPr>
      <w:r>
        <w:rPr>
          <w:b/>
          <w:bCs/>
        </w:rPr>
        <w:t xml:space="preserve">11.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Changes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TD-08v.a1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2026-02-27</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Initial draft. Complete context loading strategy, CLAUDE.md governance, codebase conventions, prompt templates, verification checkpoints, and session workflow.</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TD-08v.a2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2026-02-27</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Incorporated eight refinements: (1) TD-02 always-loaded extract changed from hand-summarised to machine-generated DDL snapshot; (2) explicit S06/TD-02 conflict resolution rule added; (3) TD-03 §2.2 Repository Layer Principles added to Phase 1 context; (4) SyncWriteGate summary (TD-03 §2.1.1) added to always-loaded context; (5) Rule 5 added: no invented architectural layers; (6) Rule 6 added: CLAUDE.md must not introduce behavioural rules; (7) Operator override deviation recording required before implementation (§4.2 Rule 3, §5.4); (8) Performance targets made hard phase gates (§7.4). Structural verification checkpoint added for architectural compliance.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TD-08v.a3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2026-02-27</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Three refinements: (1) Additive loading rule (§3.3 Rule 2) tightened — operator-added documents must belong to current or prior phases; future-phase loading requires explicit justification. (2) DTO-to-DDL consistency verification checkpoint added (§7.3) — mandatory for phases that modify both Drift entity shapes and DTO serialisation. (3) Performance measurement discipline specified (§7.4) — harness methodology, required evidence, and subjective estimates explicitly prohibited.</w:t>
            </w:r>
          </w:p>
        </w:tc>
      </w:tr>
    </w:tbl>
    <w:p>
      <w:pPr>
        <w:spacing w:before="480"/>
      </w:pPr>
      <w:r>
        <w:rPr>
          <w:rFonts w:ascii="Arial" w:cs="Arial" w:eastAsia="Arial" w:hAnsi="Arial"/>
          <w:b/>
          <w:bCs/>
          <w:sz w:val="22"/>
          <w:szCs w:val="22"/>
        </w:rPr>
        <w:t xml:space="preserve">End of TD-08 — Claude Code Prompt Architecture (TD-08v.a3 Canonical)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40" w:after="160"/>
      <w:outlineLvl w:val="1"/>
    </w:pPr>
    <w:rPr>
      <w:rFonts w:ascii="Arial" w:cs="Arial" w:eastAsia="Arial" w:hAnsi="Arial"/>
      <w:b/>
      <w:bCs/>
      <w:sz w:val="28"/>
      <w:szCs w:val="28"/>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2026-02-27T11:24:28.808Z</dcterms:created>
  <dcterms:modified xsi:type="dcterms:W3CDTF">2026-02-27T11:24:28.809Z</dcterms:modified>
</cp:coreProperties>
</file>

<file path=docProps/custom.xml><?xml version="1.0" encoding="utf-8"?>
<Properties xmlns="http://schemas.openxmlformats.org/officeDocument/2006/custom-properties" xmlns:vt="http://schemas.openxmlformats.org/officeDocument/2006/docPropsVTypes"/>
</file>