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43529" w:rsidRDefault="00DA2300">
      <w:pPr>
        <w:rPr>
          <w:b/>
          <w:bCs/>
        </w:rPr>
      </w:pPr>
      <w:r w:rsidRPr="00DA2300">
        <w:rPr>
          <w:b/>
          <w:bCs/>
        </w:rPr>
        <w:t>Fragestellungen/Hypothesen mit Überlegungen zur Methodik</w:t>
      </w:r>
    </w:p>
    <w:p w:rsidR="00DA2300" w:rsidRDefault="00DA2300" w:rsidP="00DA2300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>
        <w:rPr>
          <w:rFonts w:ascii="Calibri" w:hAnsi="Calibri"/>
        </w:rPr>
        <w:t xml:space="preserve">Die LH- und FSH- Werte korrelieren mit den Pubertätsstadien. Erhöhte LH-Werte in der Kindheit gehen mit einem (früheren) Pubertätsbeginn einher. </w:t>
      </w:r>
    </w:p>
    <w:p w:rsidR="00DA2300" w:rsidRPr="00DA2300" w:rsidRDefault="00DA2300" w:rsidP="00DA2300">
      <w:pPr>
        <w:pStyle w:val="Listenabsatz"/>
        <w:numPr>
          <w:ilvl w:val="0"/>
          <w:numId w:val="3"/>
        </w:numPr>
        <w:spacing w:after="8pt"/>
        <w:contextualSpacing/>
        <w:rPr>
          <w:rFonts w:ascii="Calibri" w:hAnsi="Calibri"/>
          <w:i/>
          <w:iCs/>
          <w:sz w:val="21"/>
          <w:szCs w:val="21"/>
        </w:rPr>
      </w:pPr>
      <w:r w:rsidRPr="00DA2300">
        <w:rPr>
          <w:rFonts w:ascii="Calibri" w:hAnsi="Calibri"/>
          <w:i/>
          <w:iCs/>
          <w:sz w:val="21"/>
          <w:szCs w:val="21"/>
        </w:rPr>
        <w:t xml:space="preserve">Nach Geschlechtern getrennt: Tabellen: Pubertätsstadien 1-5 mit mittleren LH-/FSH-Werten </w:t>
      </w:r>
      <w:r w:rsidRPr="00DA2300">
        <w:rPr>
          <w:rFonts w:ascii="Calibri" w:hAnsi="Calibri"/>
          <w:i/>
          <w:iCs/>
          <w:sz w:val="21"/>
          <w:szCs w:val="21"/>
        </w:rPr>
        <w:sym w:font="Wingdings" w:char="F0E0"/>
      </w:r>
      <w:r w:rsidRPr="00DA2300">
        <w:rPr>
          <w:rFonts w:ascii="Calibri" w:hAnsi="Calibri"/>
          <w:i/>
          <w:iCs/>
          <w:sz w:val="21"/>
          <w:szCs w:val="21"/>
        </w:rPr>
        <w:t xml:space="preserve">Tabelle 5 </w:t>
      </w:r>
      <w:proofErr w:type="spellStart"/>
      <w:r w:rsidRPr="00DA2300">
        <w:rPr>
          <w:rFonts w:ascii="Calibri" w:hAnsi="Calibri"/>
          <w:i/>
          <w:iCs/>
          <w:sz w:val="21"/>
          <w:szCs w:val="21"/>
        </w:rPr>
        <w:t>Nottelmann</w:t>
      </w:r>
      <w:proofErr w:type="spellEnd"/>
      <w:r w:rsidRPr="00DA2300">
        <w:rPr>
          <w:rFonts w:ascii="Calibri" w:hAnsi="Calibri"/>
          <w:i/>
          <w:iCs/>
          <w:sz w:val="21"/>
          <w:szCs w:val="21"/>
        </w:rPr>
        <w:t xml:space="preserve"> und </w:t>
      </w:r>
      <w:proofErr w:type="spellStart"/>
      <w:r w:rsidRPr="00DA2300">
        <w:rPr>
          <w:rFonts w:ascii="Calibri" w:hAnsi="Calibri"/>
          <w:i/>
          <w:iCs/>
          <w:sz w:val="21"/>
          <w:szCs w:val="21"/>
        </w:rPr>
        <w:t>Figure</w:t>
      </w:r>
      <w:proofErr w:type="spellEnd"/>
      <w:r w:rsidRPr="00DA2300">
        <w:rPr>
          <w:rFonts w:ascii="Calibri" w:hAnsi="Calibri"/>
          <w:i/>
          <w:iCs/>
          <w:sz w:val="21"/>
          <w:szCs w:val="21"/>
        </w:rPr>
        <w:t xml:space="preserve"> 1 (S.251/2), Korrelation zwischen Alter, Pubertätsstadien und LH-Werten</w:t>
      </w:r>
    </w:p>
    <w:p w:rsidR="00DA2300" w:rsidRPr="00A0702C" w:rsidRDefault="00DA2300" w:rsidP="00DA2300">
      <w:pPr>
        <w:pStyle w:val="Listenabsatz"/>
        <w:spacing w:after="8pt"/>
        <w:ind w:start="36pt"/>
        <w:contextualSpacing/>
        <w:rPr>
          <w:rFonts w:ascii="Calibri" w:hAnsi="Calibri"/>
        </w:rPr>
      </w:pPr>
    </w:p>
    <w:p w:rsidR="00DA2300" w:rsidRDefault="00DA2300" w:rsidP="00DA2300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 w:rsidRPr="00A0702C">
        <w:rPr>
          <w:rFonts w:ascii="Calibri" w:hAnsi="Calibri"/>
        </w:rPr>
        <w:t>Übergewichtige Kinder treten früher als normalgewichtige Kinder in die Pubertät (Pubertätsstadium1 nach Tanner) ein.</w:t>
      </w:r>
      <w:r w:rsidRPr="000B6DF3">
        <w:rPr>
          <w:rFonts w:ascii="Calibri" w:hAnsi="Calibri"/>
          <w:i/>
          <w:iCs/>
        </w:rPr>
        <w:t xml:space="preserve"> </w:t>
      </w:r>
    </w:p>
    <w:p w:rsidR="00DA2300" w:rsidRPr="00DA2300" w:rsidRDefault="00DA2300" w:rsidP="00DA2300">
      <w:pPr>
        <w:pStyle w:val="Listenabsatz"/>
        <w:numPr>
          <w:ilvl w:val="0"/>
          <w:numId w:val="3"/>
        </w:numPr>
        <w:spacing w:after="8pt"/>
        <w:contextualSpacing/>
        <w:rPr>
          <w:rFonts w:ascii="Calibri" w:hAnsi="Calibri"/>
          <w:i/>
          <w:iCs/>
          <w:sz w:val="22"/>
          <w:szCs w:val="22"/>
        </w:rPr>
      </w:pPr>
      <w:r w:rsidRPr="00DA2300">
        <w:rPr>
          <w:rFonts w:ascii="Calibri" w:hAnsi="Calibri"/>
          <w:i/>
          <w:iCs/>
          <w:sz w:val="22"/>
          <w:szCs w:val="22"/>
        </w:rPr>
        <w:t>Vergleichspunkt: Pubertätsstadium 1? Tabellen nach Geschlechtern getrennt, Medianes Eintrittsalter für Normalgewichtige und für übergewichtige Kinder</w:t>
      </w:r>
    </w:p>
    <w:p w:rsidR="00DA2300" w:rsidRPr="00DA2300" w:rsidRDefault="00DA2300" w:rsidP="00DA2300">
      <w:pPr>
        <w:pStyle w:val="Listenabsatz"/>
        <w:numPr>
          <w:ilvl w:val="0"/>
          <w:numId w:val="3"/>
        </w:numPr>
        <w:spacing w:after="8pt"/>
        <w:contextualSpacing/>
        <w:rPr>
          <w:rFonts w:ascii="Calibri" w:hAnsi="Calibri"/>
          <w:i/>
          <w:iCs/>
          <w:sz w:val="22"/>
          <w:szCs w:val="22"/>
        </w:rPr>
      </w:pPr>
      <w:r w:rsidRPr="00DA2300">
        <w:rPr>
          <w:rFonts w:ascii="Calibri" w:hAnsi="Calibri"/>
          <w:i/>
          <w:iCs/>
          <w:sz w:val="22"/>
          <w:szCs w:val="22"/>
        </w:rPr>
        <w:t xml:space="preserve">Und/oder für Mädchen: </w:t>
      </w:r>
      <w:proofErr w:type="spellStart"/>
      <w:r w:rsidRPr="00DA2300">
        <w:rPr>
          <w:rFonts w:ascii="Calibri" w:hAnsi="Calibri"/>
          <w:i/>
          <w:iCs/>
          <w:sz w:val="22"/>
          <w:szCs w:val="22"/>
        </w:rPr>
        <w:t>Menarchealter</w:t>
      </w:r>
      <w:proofErr w:type="spellEnd"/>
      <w:r w:rsidRPr="00DA2300">
        <w:rPr>
          <w:rFonts w:ascii="Calibri" w:hAnsi="Calibri"/>
          <w:i/>
          <w:iCs/>
          <w:sz w:val="22"/>
          <w:szCs w:val="22"/>
        </w:rPr>
        <w:t xml:space="preserve"> tabellarisch nach Gewicht gegenüberstellen</w:t>
      </w:r>
      <w:r w:rsidRPr="00DA2300">
        <w:rPr>
          <w:rFonts w:ascii="Calibri" w:hAnsi="Calibri"/>
          <w:i/>
          <w:iCs/>
          <w:sz w:val="22"/>
          <w:szCs w:val="22"/>
        </w:rPr>
        <w:sym w:font="Wingdings" w:char="F0E0"/>
      </w:r>
      <w:r w:rsidRPr="00DA2300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DA2300">
        <w:rPr>
          <w:rFonts w:ascii="Calibri" w:hAnsi="Calibri"/>
          <w:i/>
          <w:iCs/>
          <w:sz w:val="22"/>
          <w:szCs w:val="22"/>
        </w:rPr>
        <w:t>Bsp</w:t>
      </w:r>
      <w:proofErr w:type="spellEnd"/>
      <w:r w:rsidRPr="00DA2300">
        <w:rPr>
          <w:rFonts w:ascii="Calibri" w:hAnsi="Calibri"/>
          <w:i/>
          <w:iCs/>
          <w:sz w:val="22"/>
          <w:szCs w:val="22"/>
        </w:rPr>
        <w:t xml:space="preserve">: </w:t>
      </w:r>
      <w:r>
        <w:rPr>
          <w:rFonts w:ascii="Calibri" w:hAnsi="Calibri"/>
          <w:i/>
          <w:iCs/>
          <w:sz w:val="22"/>
          <w:szCs w:val="22"/>
        </w:rPr>
        <w:t>(</w:t>
      </w:r>
      <w:r w:rsidRPr="00DA2300">
        <w:rPr>
          <w:rFonts w:ascii="Calibri" w:hAnsi="Calibri"/>
          <w:i/>
          <w:iCs/>
          <w:sz w:val="22"/>
          <w:szCs w:val="22"/>
        </w:rPr>
        <w:t xml:space="preserve">Tabelle </w:t>
      </w:r>
      <w:r>
        <w:rPr>
          <w:rFonts w:ascii="Calibri" w:hAnsi="Calibri"/>
          <w:i/>
          <w:iCs/>
          <w:sz w:val="22"/>
          <w:szCs w:val="22"/>
        </w:rPr>
        <w:t xml:space="preserve">aus </w:t>
      </w:r>
      <w:r w:rsidRPr="00DA2300">
        <w:rPr>
          <w:rFonts w:ascii="Calibri" w:hAnsi="Calibri"/>
          <w:i/>
          <w:iCs/>
          <w:sz w:val="22"/>
          <w:szCs w:val="22"/>
        </w:rPr>
        <w:t>Robert-Koch</w:t>
      </w:r>
      <w:r>
        <w:rPr>
          <w:rFonts w:ascii="Calibri" w:hAnsi="Calibri"/>
          <w:i/>
          <w:iCs/>
          <w:sz w:val="22"/>
          <w:szCs w:val="22"/>
        </w:rPr>
        <w:t xml:space="preserve"> 2008)</w:t>
      </w:r>
      <w:r w:rsidRPr="00DA2300">
        <w:rPr>
          <w:rFonts w:ascii="Calibri" w:hAnsi="Calibri"/>
          <w:i/>
          <w:iCs/>
          <w:sz w:val="22"/>
          <w:szCs w:val="22"/>
        </w:rPr>
        <w:t xml:space="preserve"> </w:t>
      </w:r>
    </w:p>
    <w:p w:rsidR="00DA2300" w:rsidRPr="000A5F3A" w:rsidRDefault="00DA2300" w:rsidP="00DA2300">
      <w:pPr>
        <w:rPr>
          <w:b/>
          <w:bCs/>
        </w:rPr>
      </w:pPr>
    </w:p>
    <w:p w:rsidR="00DA2300" w:rsidRDefault="00DA2300" w:rsidP="00DA2300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 w:rsidRPr="000B6DF3">
        <w:rPr>
          <w:rFonts w:ascii="Calibri" w:hAnsi="Calibri"/>
        </w:rPr>
        <w:t>Übergewichtige Kinder haben in früherem Alter pubertäre LH- und FSH-Werte als normalgewichtige Kinder.</w:t>
      </w:r>
      <w:r>
        <w:rPr>
          <w:rFonts w:ascii="Calibri" w:hAnsi="Calibri"/>
        </w:rPr>
        <w:t xml:space="preserve"> Bei übergewichtigen Mädchen zeigt sich dieser Zusammenhang stärker als bei übergewichtigen Jungen.</w:t>
      </w:r>
    </w:p>
    <w:p w:rsidR="00DA2300" w:rsidRPr="00DA2300" w:rsidRDefault="00DA2300" w:rsidP="00DA2300">
      <w:pPr>
        <w:pStyle w:val="Listenabsatz"/>
        <w:numPr>
          <w:ilvl w:val="0"/>
          <w:numId w:val="3"/>
        </w:numPr>
        <w:spacing w:after="8pt"/>
        <w:contextualSpacing/>
        <w:rPr>
          <w:rFonts w:ascii="Calibri" w:hAnsi="Calibri"/>
          <w:i/>
          <w:iCs/>
          <w:sz w:val="22"/>
          <w:szCs w:val="22"/>
        </w:rPr>
      </w:pPr>
      <w:r w:rsidRPr="00DA2300">
        <w:rPr>
          <w:rFonts w:ascii="Calibri" w:hAnsi="Calibri"/>
          <w:i/>
          <w:iCs/>
          <w:sz w:val="22"/>
          <w:szCs w:val="22"/>
        </w:rPr>
        <w:t>Darstellung: LH- und FSH-Werte nach Geschlecht und Alter: Tabellarisch und in Kurven:  x-Achse: Alter, y-Achse: LH/FSH-Werte</w:t>
      </w:r>
      <w:r w:rsidRPr="00DA2300">
        <w:rPr>
          <w:i/>
          <w:iCs/>
          <w:sz w:val="22"/>
          <w:szCs w:val="22"/>
        </w:rPr>
        <w:sym w:font="Wingdings" w:char="F0E0"/>
      </w:r>
      <w:r w:rsidRPr="00DA2300">
        <w:rPr>
          <w:i/>
          <w:iCs/>
          <w:sz w:val="22"/>
          <w:szCs w:val="22"/>
        </w:rPr>
        <w:t>Werte für normalgewichtige Kinder und Werte für übergewichtige Kinder</w:t>
      </w:r>
    </w:p>
    <w:p w:rsidR="00DA2300" w:rsidRDefault="00DA2300" w:rsidP="00DA2300">
      <w:pPr>
        <w:pStyle w:val="Listenabsatz"/>
        <w:spacing w:after="8pt"/>
        <w:ind w:start="36pt"/>
        <w:contextualSpacing/>
        <w:rPr>
          <w:rFonts w:ascii="Calibri" w:hAnsi="Calibri"/>
        </w:rPr>
      </w:pPr>
    </w:p>
    <w:p w:rsidR="00DA2300" w:rsidRPr="000B6DF3" w:rsidRDefault="00DA2300" w:rsidP="00DA2300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 w:rsidRPr="000B6DF3">
        <w:rPr>
          <w:rFonts w:ascii="Calibri" w:hAnsi="Calibri"/>
        </w:rPr>
        <w:t>Zeigen Kinder aus niedrigen sozialen Schichten in früherem Alter erhöhte LH- und FSH-Werte als Kinder aus besser situierten Familien?</w:t>
      </w:r>
    </w:p>
    <w:p w:rsidR="00DA2300" w:rsidRDefault="00DA2300" w:rsidP="00DA2300">
      <w:pPr>
        <w:pStyle w:val="Listenabsatz"/>
        <w:rPr>
          <w:rFonts w:ascii="Calibri" w:hAnsi="Calibri"/>
        </w:rPr>
      </w:pPr>
      <w:r w:rsidRPr="000B6DF3">
        <w:rPr>
          <w:rFonts w:ascii="Calibri" w:hAnsi="Calibri"/>
        </w:rPr>
        <w:sym w:font="Wingdings" w:char="F0E0"/>
      </w:r>
      <w:r w:rsidRPr="000B6DF3">
        <w:rPr>
          <w:rFonts w:ascii="Calibri" w:hAnsi="Calibri"/>
        </w:rPr>
        <w:t xml:space="preserve"> Die </w:t>
      </w:r>
      <w:r>
        <w:rPr>
          <w:rFonts w:ascii="Calibri" w:hAnsi="Calibri"/>
        </w:rPr>
        <w:t xml:space="preserve">pubertären </w:t>
      </w:r>
      <w:r w:rsidRPr="000B6DF3">
        <w:rPr>
          <w:rFonts w:ascii="Calibri" w:hAnsi="Calibri"/>
        </w:rPr>
        <w:t>LH- und FSH-Werte bei Kindern sind abhängig vom Sozialstatus.</w:t>
      </w:r>
    </w:p>
    <w:p w:rsidR="00DA2300" w:rsidRPr="00DA2300" w:rsidRDefault="00DA2300" w:rsidP="00DA2300">
      <w:pPr>
        <w:pStyle w:val="Listenabsatz"/>
        <w:numPr>
          <w:ilvl w:val="0"/>
          <w:numId w:val="4"/>
        </w:numPr>
        <w:rPr>
          <w:rFonts w:ascii="Calibri" w:hAnsi="Calibri"/>
          <w:i/>
          <w:iCs/>
          <w:sz w:val="22"/>
          <w:szCs w:val="22"/>
        </w:rPr>
      </w:pPr>
      <w:r w:rsidRPr="00DA2300">
        <w:rPr>
          <w:rFonts w:ascii="Calibri" w:hAnsi="Calibri"/>
          <w:i/>
          <w:iCs/>
          <w:sz w:val="22"/>
          <w:szCs w:val="22"/>
        </w:rPr>
        <w:t>Tabellarisch/in Kurven: Nach Geschlecht/Sozialstatus/ getrennt: jeweils mediane LH-Werte (und FSH-Werte?) nach Alter</w:t>
      </w:r>
    </w:p>
    <w:p w:rsidR="00DA2300" w:rsidRDefault="00DA2300" w:rsidP="00DA2300">
      <w:pPr>
        <w:pStyle w:val="Listenabsatz"/>
        <w:spacing w:after="8pt"/>
        <w:ind w:start="36pt"/>
        <w:contextualSpacing/>
        <w:rPr>
          <w:rFonts w:ascii="Calibri" w:hAnsi="Calibri"/>
        </w:rPr>
      </w:pPr>
    </w:p>
    <w:p w:rsidR="00DA2300" w:rsidRPr="000B6DF3" w:rsidRDefault="00DA2300" w:rsidP="00DA2300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 w:rsidRPr="000B6DF3">
        <w:rPr>
          <w:rFonts w:ascii="Calibri" w:hAnsi="Calibri"/>
        </w:rPr>
        <w:t>Existiert ein Unterschied in Bezug auf den Einfluss des Sozialstatus auf die LH- und FSH-Werte bei Mädchen und Jungen?</w:t>
      </w:r>
    </w:p>
    <w:p w:rsidR="00DA2300" w:rsidRDefault="00DA2300" w:rsidP="00DA2300">
      <w:pPr>
        <w:pStyle w:val="Listenabsatz"/>
        <w:rPr>
          <w:rFonts w:ascii="Calibri" w:hAnsi="Calibri"/>
          <w:iCs/>
        </w:rPr>
      </w:pPr>
      <w:r w:rsidRPr="000B6DF3">
        <w:rPr>
          <w:rFonts w:ascii="Calibri" w:hAnsi="Calibri"/>
        </w:rPr>
        <w:sym w:font="Wingdings" w:char="F0E0"/>
      </w:r>
      <w:r w:rsidRPr="000B6DF3">
        <w:rPr>
          <w:rFonts w:ascii="Calibri" w:hAnsi="Calibri"/>
        </w:rPr>
        <w:t xml:space="preserve"> Bei Mädchen </w:t>
      </w:r>
      <w:r w:rsidRPr="000B6DF3">
        <w:rPr>
          <w:rFonts w:ascii="Calibri" w:hAnsi="Calibri"/>
          <w:i/>
          <w:iCs/>
        </w:rPr>
        <w:t xml:space="preserve">ist das </w:t>
      </w:r>
      <w:proofErr w:type="spellStart"/>
      <w:r w:rsidRPr="000B6DF3">
        <w:rPr>
          <w:rFonts w:ascii="Calibri" w:hAnsi="Calibri"/>
          <w:i/>
          <w:iCs/>
        </w:rPr>
        <w:t>Menarch</w:t>
      </w:r>
      <w:r>
        <w:rPr>
          <w:rFonts w:ascii="Calibri" w:hAnsi="Calibri"/>
          <w:i/>
          <w:iCs/>
        </w:rPr>
        <w:t>e</w:t>
      </w:r>
      <w:r w:rsidRPr="000B6DF3">
        <w:rPr>
          <w:rFonts w:ascii="Calibri" w:hAnsi="Calibri"/>
          <w:i/>
          <w:iCs/>
        </w:rPr>
        <w:t>alter</w:t>
      </w:r>
      <w:proofErr w:type="spellEnd"/>
      <w:r w:rsidRPr="000B6DF3">
        <w:rPr>
          <w:rFonts w:ascii="Calibri" w:hAnsi="Calibri"/>
        </w:rPr>
        <w:t xml:space="preserve"> im Rahmen von erhöhten pubertären LH- und FSH-Werten abhängig vom Sozialstatus. Bei Jungen zeigt sich der</w:t>
      </w:r>
      <w:r w:rsidRPr="000B6DF3">
        <w:rPr>
          <w:rFonts w:ascii="Calibri" w:hAnsi="Calibri"/>
          <w:iCs/>
        </w:rPr>
        <w:t xml:space="preserve"> Zusammenhang zwischen Sozialstatus und Reifeentwick</w:t>
      </w:r>
      <w:r>
        <w:rPr>
          <w:rFonts w:ascii="Calibri" w:hAnsi="Calibri"/>
          <w:iCs/>
        </w:rPr>
        <w:t>lung nicht so stark. Oder</w:t>
      </w:r>
      <w:r w:rsidRPr="000B6DF3">
        <w:rPr>
          <w:rFonts w:ascii="Calibri" w:hAnsi="Calibri"/>
          <w:iCs/>
        </w:rPr>
        <w:t xml:space="preserve">: Der Pubertätseintritt ist bei Mädchen stärker als bei Jungen abhängig vom Sozialstatus. </w:t>
      </w:r>
    </w:p>
    <w:p w:rsidR="00DA2300" w:rsidRPr="00DA2300" w:rsidRDefault="00DA2300" w:rsidP="00DA2300">
      <w:pPr>
        <w:pStyle w:val="Listenabsatz"/>
        <w:numPr>
          <w:ilvl w:val="0"/>
          <w:numId w:val="5"/>
        </w:numPr>
        <w:rPr>
          <w:rFonts w:ascii="Calibri" w:hAnsi="Calibri"/>
          <w:i/>
          <w:iCs/>
          <w:sz w:val="22"/>
          <w:szCs w:val="22"/>
        </w:rPr>
      </w:pPr>
      <w:r w:rsidRPr="00DA2300">
        <w:rPr>
          <w:rFonts w:ascii="Calibri" w:hAnsi="Calibri"/>
          <w:i/>
          <w:iCs/>
          <w:sz w:val="22"/>
          <w:szCs w:val="22"/>
        </w:rPr>
        <w:t>Tabelle: Vergleichspunkt: Medianes Alter des Pubertätseintritts (Stadium 1)? Getrennt nach Geschlecht und sozialem Status.</w:t>
      </w:r>
    </w:p>
    <w:p w:rsidR="00DA2300" w:rsidRDefault="00DA2300" w:rsidP="00DA2300">
      <w:pPr>
        <w:pStyle w:val="Listenabsatz"/>
        <w:numPr>
          <w:ilvl w:val="0"/>
          <w:numId w:val="5"/>
        </w:numPr>
        <w:rPr>
          <w:rFonts w:ascii="Calibri" w:hAnsi="Calibri"/>
          <w:i/>
          <w:iCs/>
          <w:sz w:val="22"/>
          <w:szCs w:val="22"/>
        </w:rPr>
      </w:pPr>
      <w:r w:rsidRPr="00DA2300">
        <w:rPr>
          <w:rFonts w:ascii="Calibri" w:hAnsi="Calibri"/>
          <w:i/>
          <w:iCs/>
          <w:sz w:val="22"/>
          <w:szCs w:val="22"/>
        </w:rPr>
        <w:t xml:space="preserve">Tabelle: Für Mädchen: </w:t>
      </w:r>
      <w:proofErr w:type="spellStart"/>
      <w:r w:rsidRPr="00DA2300">
        <w:rPr>
          <w:rFonts w:ascii="Calibri" w:hAnsi="Calibri"/>
          <w:i/>
          <w:iCs/>
          <w:sz w:val="22"/>
          <w:szCs w:val="22"/>
        </w:rPr>
        <w:t>Menarchealter</w:t>
      </w:r>
      <w:proofErr w:type="spellEnd"/>
      <w:r w:rsidRPr="00DA2300">
        <w:rPr>
          <w:rFonts w:ascii="Calibri" w:hAnsi="Calibri"/>
          <w:i/>
          <w:iCs/>
          <w:sz w:val="22"/>
          <w:szCs w:val="22"/>
        </w:rPr>
        <w:t xml:space="preserve"> getrennt nach sozialem Status </w:t>
      </w:r>
    </w:p>
    <w:p w:rsidR="00DA2300" w:rsidRPr="00DA2300" w:rsidRDefault="00DA2300" w:rsidP="00DA2300">
      <w:pPr>
        <w:pStyle w:val="Listenabsatz"/>
        <w:ind w:start="89.40pt"/>
        <w:rPr>
          <w:rFonts w:ascii="Calibri" w:hAnsi="Calibri"/>
          <w:i/>
          <w:iCs/>
          <w:sz w:val="22"/>
          <w:szCs w:val="22"/>
        </w:rPr>
      </w:pPr>
    </w:p>
    <w:p w:rsidR="00DA2300" w:rsidRPr="007B2AB5" w:rsidRDefault="00DA2300" w:rsidP="00DA2300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 w:rsidRPr="007B2AB5">
        <w:rPr>
          <w:rFonts w:ascii="Calibri" w:hAnsi="Calibri"/>
        </w:rPr>
        <w:t>Haben psychische Auffälligkeiten bei Kindern Auswirkungen auf die LH- und FSH- Werte?</w:t>
      </w:r>
    </w:p>
    <w:p w:rsidR="00DA2300" w:rsidRPr="000D1099" w:rsidRDefault="00DA2300" w:rsidP="00DA2300">
      <w:pPr>
        <w:pStyle w:val="Listenabsatz"/>
        <w:rPr>
          <w:rFonts w:ascii="Calibri" w:hAnsi="Calibri"/>
        </w:rPr>
      </w:pPr>
      <w:r w:rsidRPr="000D1099">
        <w:rPr>
          <w:rFonts w:ascii="Calibri" w:hAnsi="Calibri"/>
        </w:rPr>
        <w:sym w:font="Wingdings" w:char="F0E0"/>
      </w:r>
      <w:r w:rsidRPr="000D1099">
        <w:rPr>
          <w:rFonts w:ascii="Calibri" w:hAnsi="Calibri"/>
        </w:rPr>
        <w:t>Kinder mit psychischen Auffälligkeiten zeigen in früherem Alter als Kinder ohne psychische Auffälligkeiten pubertär erhöhte LH- und FSH-Werte/</w:t>
      </w:r>
    </w:p>
    <w:p w:rsidR="00DA2300" w:rsidRPr="000D1099" w:rsidRDefault="00DA2300" w:rsidP="00DA2300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D1099">
        <w:rPr>
          <w:rFonts w:ascii="Calibri" w:hAnsi="Calibri"/>
        </w:rPr>
        <w:t>Kinder mit psychischen Auffälligkeiten treten früher in die Pubertät ein.</w:t>
      </w:r>
    </w:p>
    <w:p w:rsidR="00DA2300" w:rsidRDefault="00DA2300" w:rsidP="00DA2300">
      <w:pPr>
        <w:rPr>
          <w:rFonts w:ascii="Calibri" w:hAnsi="Calibri"/>
          <w:i/>
          <w:iCs/>
        </w:rPr>
      </w:pPr>
    </w:p>
    <w:p w:rsidR="00DA2300" w:rsidRDefault="00DA2300" w:rsidP="00DA2300">
      <w:pPr>
        <w:rPr>
          <w:rFonts w:ascii="Calibri" w:hAnsi="Calibri"/>
          <w:i/>
          <w:iCs/>
        </w:rPr>
      </w:pPr>
    </w:p>
    <w:p w:rsidR="00DA2300" w:rsidRDefault="00DA2300" w:rsidP="00DA2300">
      <w:pPr>
        <w:rPr>
          <w:rFonts w:ascii="Calibri" w:hAnsi="Calibri"/>
          <w:i/>
          <w:iCs/>
        </w:rPr>
      </w:pPr>
    </w:p>
    <w:p w:rsidR="00DA2300" w:rsidRDefault="00DA2300" w:rsidP="00DA2300">
      <w:pPr>
        <w:rPr>
          <w:rFonts w:ascii="Calibri" w:hAnsi="Calibri"/>
          <w:i/>
          <w:iCs/>
        </w:rPr>
      </w:pPr>
    </w:p>
    <w:p w:rsidR="00DA2300" w:rsidRDefault="00DA2300" w:rsidP="00DA2300">
      <w:pPr>
        <w:rPr>
          <w:rFonts w:ascii="Calibri" w:hAnsi="Calibri"/>
          <w:i/>
          <w:iCs/>
        </w:rPr>
      </w:pPr>
    </w:p>
    <w:p w:rsidR="00DA2300" w:rsidRPr="00C1576F" w:rsidRDefault="00DA2300" w:rsidP="00DA2300">
      <w:pPr>
        <w:rPr>
          <w:rFonts w:ascii="Calibri" w:hAnsi="Calibri"/>
          <w:b/>
          <w:bCs/>
        </w:rPr>
      </w:pPr>
      <w:r w:rsidRPr="00C1576F">
        <w:rPr>
          <w:rFonts w:ascii="Calibri" w:hAnsi="Calibri"/>
          <w:b/>
          <w:bCs/>
        </w:rPr>
        <w:t>Referenzwerte für LH und FSH</w:t>
      </w:r>
    </w:p>
    <w:p w:rsidR="00DA2300" w:rsidRPr="00C1576F" w:rsidRDefault="00DA2300" w:rsidP="00DA2300">
      <w:pPr>
        <w:pStyle w:val="Listenabsatz"/>
        <w:numPr>
          <w:ilvl w:val="0"/>
          <w:numId w:val="6"/>
        </w:numPr>
        <w:rPr>
          <w:rFonts w:ascii="Calibri" w:hAnsi="Calibri"/>
        </w:rPr>
      </w:pPr>
      <w:r w:rsidRPr="00C1576F">
        <w:rPr>
          <w:rFonts w:ascii="Calibri" w:hAnsi="Calibri"/>
        </w:rPr>
        <w:t>Tabellarisch nach Alter und Geschlecht (sollte in Bezug auf den Teil der übergewichtigen Kinder ungefähr die Bevölkerung abbilden)</w:t>
      </w:r>
    </w:p>
    <w:p w:rsidR="00DA2300" w:rsidRDefault="00DA2300" w:rsidP="00DA2300">
      <w:pPr>
        <w:pStyle w:val="Listenabsatz"/>
        <w:numPr>
          <w:ilvl w:val="0"/>
          <w:numId w:val="6"/>
        </w:numPr>
        <w:rPr>
          <w:rFonts w:ascii="Calibri" w:hAnsi="Calibri"/>
        </w:rPr>
      </w:pPr>
      <w:r w:rsidRPr="00C1576F">
        <w:rPr>
          <w:rFonts w:ascii="Calibri" w:hAnsi="Calibri"/>
        </w:rPr>
        <w:t>Und</w:t>
      </w:r>
      <w:r>
        <w:rPr>
          <w:rFonts w:ascii="Calibri" w:hAnsi="Calibri"/>
        </w:rPr>
        <w:t>/Oder</w:t>
      </w:r>
      <w:r w:rsidRPr="00C1576F">
        <w:rPr>
          <w:rFonts w:ascii="Calibri" w:hAnsi="Calibri"/>
        </w:rPr>
        <w:t>:</w:t>
      </w:r>
      <w:r w:rsidRPr="00C1576F">
        <w:rPr>
          <w:rFonts w:ascii="Calibri" w:hAnsi="Calibri"/>
          <w:noProof/>
          <w:lang w:eastAsia="zh-CN"/>
        </w:rPr>
        <w:drawing>
          <wp:inline distT="0" distB="0" distL="0" distR="0" wp14:anchorId="7B7190CE" wp14:editId="4ECD1929">
            <wp:extent cx="2673449" cy="1819275"/>
            <wp:effectExtent l="0" t="0" r="0" b="0"/>
            <wp:docPr id="3" name="Grafik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.74%" t="-0.378%" r="-6.535%" b="59.071%"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746787" cy="18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</w:t>
      </w:r>
    </w:p>
    <w:p w:rsidR="00DA2300" w:rsidRPr="00C1576F" w:rsidRDefault="00DA2300" w:rsidP="00DA2300">
      <w:pPr>
        <w:pStyle w:val="Listenabsatz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Und: </w:t>
      </w:r>
      <w:proofErr w:type="spellStart"/>
      <w:r>
        <w:rPr>
          <w:rFonts w:ascii="Calibri" w:hAnsi="Calibri"/>
        </w:rPr>
        <w:t>Percentilenkurven</w:t>
      </w:r>
      <w:proofErr w:type="spellEnd"/>
    </w:p>
    <w:p w:rsidR="00DA2300" w:rsidRDefault="00DA2300" w:rsidP="00DA2300"/>
    <w:p w:rsidR="00DA2300" w:rsidRPr="00DA2300" w:rsidRDefault="00DA2300">
      <w:pPr>
        <w:rPr>
          <w:b/>
          <w:bCs/>
        </w:rPr>
      </w:pPr>
    </w:p>
    <w:sectPr w:rsidR="00DA2300" w:rsidRPr="00DA2300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20D5389A"/>
    <w:multiLevelType w:val="hybridMultilevel"/>
    <w:tmpl w:val="4F3E55B2"/>
    <w:lvl w:ilvl="0" w:tplc="A336D47C">
      <w:numFmt w:val="bullet"/>
      <w:lvlText w:val="-"/>
      <w:lvlJc w:val="start"/>
      <w:pPr>
        <w:ind w:start="36pt" w:hanging="18pt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22A42F1B"/>
    <w:multiLevelType w:val="hybridMultilevel"/>
    <w:tmpl w:val="A5ECE34A"/>
    <w:lvl w:ilvl="0" w:tplc="0407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">
    <w:nsid w:val="24C66AAA"/>
    <w:multiLevelType w:val="hybridMultilevel"/>
    <w:tmpl w:val="8AA6A354"/>
    <w:lvl w:ilvl="0" w:tplc="04070003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  <w:i/>
        <w:sz w:val="24"/>
      </w:rPr>
    </w:lvl>
    <w:lvl w:ilvl="1" w:tplc="0407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3">
    <w:nsid w:val="64B2516E"/>
    <w:multiLevelType w:val="hybridMultilevel"/>
    <w:tmpl w:val="36EA13DA"/>
    <w:lvl w:ilvl="0" w:tplc="1C74D39A">
      <w:numFmt w:val="bullet"/>
      <w:lvlText w:val=""/>
      <w:lvlJc w:val="start"/>
      <w:pPr>
        <w:ind w:start="54pt" w:hanging="18pt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4">
    <w:nsid w:val="6CC340D4"/>
    <w:multiLevelType w:val="hybridMultilevel"/>
    <w:tmpl w:val="79CE63D2"/>
    <w:lvl w:ilvl="0" w:tplc="04070003">
      <w:start w:val="1"/>
      <w:numFmt w:val="bullet"/>
      <w:lvlText w:val="o"/>
      <w:lvlJc w:val="start"/>
      <w:pPr>
        <w:ind w:start="71.40pt" w:hanging="18pt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5">
    <w:nsid w:val="727A0DCA"/>
    <w:multiLevelType w:val="hybridMultilevel"/>
    <w:tmpl w:val="5ABAF702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00"/>
    <w:rsid w:val="009B6848"/>
    <w:rsid w:val="00C43529"/>
    <w:rsid w:val="00DA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DCD201-FB0F-46BA-A551-624493FDFC8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2300"/>
    <w:pPr>
      <w:spacing w:after="0pt" w:line="12pt" w:lineRule="auto"/>
      <w:ind w:start="35.40pt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361</Words>
  <Characters>2277</Characters>
  <Application>Microsoft Office Word</Application>
  <DocSecurity>0</DocSecurity>
  <Lines>18</Lines>
  <Paragraphs>5</Paragraphs>
  <ScaleCrop>false</ScaleCrop>
  <Company>Universitätsbibliothek Leipzig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2</cp:revision>
  <dcterms:created xsi:type="dcterms:W3CDTF">2016-05-18T19:02:00Z</dcterms:created>
  <dcterms:modified xsi:type="dcterms:W3CDTF">2016-05-18T19:27:00Z</dcterms:modified>
</cp:coreProperties>
</file>