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07550" w:rsidR="001F354E" w:rsidP="001F354E" w:rsidRDefault="001F354E" w14:paraId="40B570AB" w14:textId="5A4C652D">
      <w:pPr/>
      <w:r w:rsidRPr="682619C9" w:rsidR="001F354E">
        <w:rPr>
          <w:b w:val="1"/>
          <w:bCs w:val="1"/>
          <w:sz w:val="28"/>
          <w:szCs w:val="28"/>
        </w:rPr>
        <w:t>AI use case</w:t>
      </w:r>
      <w:r w:rsidRPr="682619C9" w:rsidR="7B006DFA">
        <w:rPr>
          <w:b w:val="1"/>
          <w:bCs w:val="1"/>
          <w:sz w:val="28"/>
          <w:szCs w:val="28"/>
        </w:rPr>
        <w:t>: AI Assisted Assessment of Nature Restoration Plans</w:t>
      </w:r>
    </w:p>
    <w:p w:rsidRPr="001F354E" w:rsidR="001F354E" w:rsidP="001F354E" w:rsidRDefault="001F354E" w14:paraId="7F9A1BCC" w14:textId="77777777">
      <w:pPr>
        <w:rPr>
          <w:b/>
          <w:bCs/>
        </w:rPr>
      </w:pPr>
      <w:r w:rsidRPr="001F354E">
        <w:rPr>
          <w:b/>
          <w:bCs/>
        </w:rPr>
        <w:t>1. Main area</w:t>
      </w:r>
    </w:p>
    <w:p w:rsidRPr="001F354E" w:rsidR="001F354E" w:rsidP="001F354E" w:rsidRDefault="001F354E" w14:paraId="56294B95" w14:textId="77777777">
      <w:r w:rsidRPr="001F354E">
        <w:t>Select the area to which the use case primarily belongs:</w:t>
      </w:r>
    </w:p>
    <w:p w:rsidRPr="001F354E" w:rsidR="001F354E" w:rsidP="001F354E" w:rsidRDefault="001F354E" w14:paraId="09457151" w14:textId="77777777">
      <w:pPr>
        <w:numPr>
          <w:ilvl w:val="0"/>
          <w:numId w:val="1"/>
        </w:numPr>
      </w:pPr>
      <w:r w:rsidRPr="001F354E">
        <w:t xml:space="preserve">☐ </w:t>
      </w:r>
      <w:r w:rsidRPr="001F354E">
        <w:rPr>
          <w:b/>
          <w:bCs/>
        </w:rPr>
        <w:t>Strategy, Governance and Organisation</w:t>
      </w:r>
    </w:p>
    <w:p w:rsidRPr="001F354E" w:rsidR="001F354E" w:rsidP="001F354E" w:rsidRDefault="001F354E" w14:paraId="4818F044" w14:textId="77777777">
      <w:pPr>
        <w:numPr>
          <w:ilvl w:val="0"/>
          <w:numId w:val="1"/>
        </w:numPr>
      </w:pPr>
      <w:r w:rsidRPr="001F354E">
        <w:t xml:space="preserve">☐ </w:t>
      </w:r>
      <w:r w:rsidRPr="001F354E">
        <w:rPr>
          <w:b/>
          <w:bCs/>
        </w:rPr>
        <w:t>People, Skills and Ways of Working</w:t>
      </w:r>
    </w:p>
    <w:p w:rsidRPr="001F354E" w:rsidR="001F354E" w:rsidP="001F354E" w:rsidRDefault="001F354E" w14:paraId="7FC6313F" w14:textId="77777777">
      <w:pPr>
        <w:numPr>
          <w:ilvl w:val="0"/>
          <w:numId w:val="1"/>
        </w:numPr>
      </w:pPr>
      <w:r w:rsidRPr="001F354E">
        <w:t xml:space="preserve">☐ </w:t>
      </w:r>
      <w:r w:rsidRPr="001F354E">
        <w:rPr>
          <w:b/>
          <w:bCs/>
        </w:rPr>
        <w:t>Data, Technologies and Infrastructure</w:t>
      </w:r>
    </w:p>
    <w:p w:rsidRPr="001F354E" w:rsidR="001F354E" w:rsidP="682619C9" w:rsidRDefault="001F354E" w14:paraId="37622C97" w14:textId="7A644F27">
      <w:pPr>
        <w:numPr>
          <w:ilvl w:val="0"/>
          <w:numId w:val="1"/>
        </w:numPr>
        <w:rPr/>
      </w:pPr>
      <w:r w:rsidR="598D22FC">
        <w:rPr/>
        <w:t xml:space="preserve">X  </w:t>
      </w:r>
      <w:r w:rsidRPr="682619C9" w:rsidR="001F354E">
        <w:rPr>
          <w:b w:val="1"/>
          <w:bCs w:val="1"/>
        </w:rPr>
        <w:t>AI</w:t>
      </w:r>
      <w:r w:rsidRPr="682619C9" w:rsidR="001F354E">
        <w:rPr>
          <w:b w:val="1"/>
          <w:bCs w:val="1"/>
        </w:rPr>
        <w:t xml:space="preserve"> Applications and Value Creation</w:t>
      </w:r>
    </w:p>
    <w:p w:rsidRPr="001F354E" w:rsidR="001F354E" w:rsidP="682619C9" w:rsidRDefault="001F354E" w14:paraId="5E68DEFD" w14:textId="159FCCAE">
      <w:pPr>
        <w:ind w:left="0"/>
      </w:pPr>
    </w:p>
    <w:p w:rsidRPr="001F354E" w:rsidR="001F354E" w:rsidP="001F354E" w:rsidRDefault="001F354E" w14:paraId="783F6926" w14:textId="77777777">
      <w:pPr>
        <w:rPr>
          <w:b/>
          <w:bCs/>
        </w:rPr>
      </w:pPr>
      <w:r w:rsidRPr="001F354E">
        <w:rPr>
          <w:b/>
          <w:bCs/>
        </w:rPr>
        <w:t>2. Challenge or opportunity</w:t>
      </w:r>
    </w:p>
    <w:p w:rsidRPr="001F354E" w:rsidR="001F354E" w:rsidP="001F354E" w:rsidRDefault="001F354E" w14:paraId="33B1BD75" w14:textId="77777777">
      <w:r w:rsidRPr="682619C9" w:rsidR="001F354E">
        <w:rPr>
          <w:b w:val="1"/>
          <w:bCs w:val="1"/>
        </w:rPr>
        <w:t>Describe the problem, need or opportunity that the use case addresses.</w:t>
      </w:r>
    </w:p>
    <w:p w:rsidRPr="001F354E" w:rsidR="001F354E" w:rsidP="682619C9" w:rsidRDefault="001F354E" w14:paraId="6125EE22" w14:textId="52D066A7">
      <w:pPr>
        <w:pStyle w:val="Normal"/>
      </w:pPr>
      <w:r w:rsidRPr="682619C9" w:rsidR="05D82430">
        <w:rPr>
          <w:rFonts w:ascii="Aptos" w:hAnsi="Aptos" w:eastAsia="Aptos" w:cs="Aptos"/>
          <w:b w:val="0"/>
          <w:bCs w:val="0"/>
          <w:i w:val="0"/>
          <w:iCs w:val="0"/>
          <w:strike w:val="0"/>
          <w:dstrike w:val="0"/>
          <w:noProof w:val="0"/>
          <w:color w:val="000000" w:themeColor="text1" w:themeTint="FF" w:themeShade="FF"/>
          <w:sz w:val="22"/>
          <w:szCs w:val="22"/>
          <w:u w:val="none"/>
          <w:lang w:val="en-GB"/>
        </w:rPr>
        <w:t>Regulation (EU) 2024/1991, the Nature Restoration Law, entered into force in August 2024 and requires EU Member States to restore habitats in poor ecological condition — at least 30% by 2030, rising to 90% by 2050. As part of this, Member States submitted draft National Restoration Plans (NRPs) to the European Commission on 1 September 2026, with final plans due about a year later. The Commission, supported by the EEA and its European Topic Centre on Data Integration (ETC-DI), must assess each plan against a detailed analytical grid covering completeness, transparency, relevance and effectiveness. Doing this manually for dozens of long, structurally complex national submissions is highly time-consuming for the limited number of available reporting and data experts.</w:t>
      </w:r>
    </w:p>
    <w:p w:rsidR="682619C9" w:rsidP="682619C9" w:rsidRDefault="682619C9" w14:paraId="48B517FB" w14:textId="1442A01B">
      <w:pPr>
        <w:pStyle w:val="Normal"/>
      </w:pPr>
    </w:p>
    <w:p w:rsidRPr="001F354E" w:rsidR="001F354E" w:rsidP="001F354E" w:rsidRDefault="001F354E" w14:paraId="072D6A84" w14:textId="77777777">
      <w:pPr>
        <w:rPr>
          <w:b/>
          <w:bCs/>
        </w:rPr>
      </w:pPr>
      <w:r w:rsidRPr="001F354E">
        <w:rPr>
          <w:b/>
          <w:bCs/>
        </w:rPr>
        <w:t>3. Proposed use of AI</w:t>
      </w:r>
    </w:p>
    <w:p w:rsidRPr="001F354E" w:rsidR="001F354E" w:rsidP="001F354E" w:rsidRDefault="001F354E" w14:paraId="745C0D76" w14:textId="77777777">
      <w:r w:rsidRPr="682619C9" w:rsidR="001F354E">
        <w:rPr>
          <w:b w:val="1"/>
          <w:bCs w:val="1"/>
        </w:rPr>
        <w:t>Explain how AI could help address the challenge.</w:t>
      </w:r>
    </w:p>
    <w:p w:rsidR="796FCD77" w:rsidP="682619C9" w:rsidRDefault="796FCD77" w14:paraId="6DE62CB2" w14:textId="2AD5A7D4">
      <w:pPr>
        <w:pStyle w:val="Normal"/>
      </w:pPr>
      <w:r w:rsidRPr="682619C9" w:rsidR="796FCD77">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The use case applies a large language model to pre-assess each National Restoration Plan against an assessment framework (“analytical grid”), producing structured ratings (adequate / inadequate / good / not applicable) per criterion together with supporting references back to the source text. Assessors interact with the tool through a simple web interface, reviewing and adjusting the AI-generated ratings and narrative summary rather than starting each assessment from a blank page. Human judgement </w:t>
      </w:r>
      <w:r w:rsidRPr="682619C9" w:rsidR="796FCD77">
        <w:rPr>
          <w:rFonts w:ascii="Aptos" w:hAnsi="Aptos" w:eastAsia="Aptos" w:cs="Aptos"/>
          <w:b w:val="0"/>
          <w:bCs w:val="0"/>
          <w:i w:val="0"/>
          <w:iCs w:val="0"/>
          <w:strike w:val="0"/>
          <w:dstrike w:val="0"/>
          <w:noProof w:val="0"/>
          <w:color w:val="000000" w:themeColor="text1" w:themeTint="FF" w:themeShade="FF"/>
          <w:sz w:val="22"/>
          <w:szCs w:val="22"/>
          <w:u w:val="none"/>
          <w:lang w:val="en-GB"/>
        </w:rPr>
        <w:t>remains</w:t>
      </w:r>
      <w:r w:rsidRPr="682619C9" w:rsidR="796FCD77">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 central: every AI-generated rating is treated as a draft for expert validation, not a final decision.</w:t>
      </w:r>
    </w:p>
    <w:p w:rsidR="682619C9" w:rsidP="682619C9" w:rsidRDefault="682619C9" w14:paraId="2280D3F0" w14:textId="3E6FA1C1">
      <w:pPr>
        <w:pStyle w:val="Normal"/>
        <w:rPr>
          <w:rFonts w:ascii="Aptos" w:hAnsi="Aptos" w:eastAsia="Aptos" w:cs="Aptos"/>
          <w:b w:val="0"/>
          <w:bCs w:val="0"/>
          <w:i w:val="0"/>
          <w:iCs w:val="0"/>
          <w:strike w:val="0"/>
          <w:dstrike w:val="0"/>
          <w:noProof w:val="0"/>
          <w:color w:val="000000" w:themeColor="text1" w:themeTint="FF" w:themeShade="FF"/>
          <w:sz w:val="22"/>
          <w:szCs w:val="22"/>
          <w:u w:val="none"/>
          <w:lang w:val="en-GB"/>
        </w:rPr>
      </w:pPr>
    </w:p>
    <w:p w:rsidRPr="001F354E" w:rsidR="001F354E" w:rsidP="001F354E" w:rsidRDefault="001F354E" w14:paraId="170AD88E" w14:textId="59619E09">
      <w:pPr>
        <w:rPr>
          <w:b/>
          <w:bCs/>
        </w:rPr>
      </w:pPr>
      <w:r w:rsidRPr="001F354E">
        <w:rPr>
          <w:b/>
          <w:bCs/>
        </w:rPr>
        <w:t>4. Scope</w:t>
      </w:r>
    </w:p>
    <w:p w:rsidRPr="001F354E" w:rsidR="001F354E" w:rsidP="001F354E" w:rsidRDefault="001F354E" w14:paraId="419C8A62" w14:textId="42E8D713">
      <w:r w:rsidRPr="682619C9" w:rsidR="001F354E">
        <w:rPr>
          <w:b w:val="1"/>
          <w:bCs w:val="1"/>
        </w:rPr>
        <w:t>Define what is included in the use case and set its boundaries.</w:t>
      </w:r>
    </w:p>
    <w:p w:rsidR="0AE8A8BC" w:rsidP="682619C9" w:rsidRDefault="0AE8A8BC" w14:paraId="206DE2FF" w14:textId="55BA8BD0">
      <w:pPr>
        <w:pStyle w:val="ListParagraph"/>
        <w:numPr>
          <w:ilvl w:val="0"/>
          <w:numId w:val="10"/>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Covers the pre-assessment of National Restoration Plans </w:t>
      </w: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submitted</w:t>
      </w: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 by EU Member States against the ETC-DI analytical grid.</w:t>
      </w:r>
    </w:p>
    <w:p w:rsidR="0AE8A8BC" w:rsidP="682619C9" w:rsidRDefault="0AE8A8BC" w14:paraId="22859D41" w14:textId="5D7161A4">
      <w:pPr>
        <w:pStyle w:val="ListParagraph"/>
        <w:numPr>
          <w:ilvl w:val="0"/>
          <w:numId w:val="10"/>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Main users are EEA/ETC-DI reporting and data experts, and in future national assessors.</w:t>
      </w:r>
    </w:p>
    <w:p w:rsidR="0AE8A8BC" w:rsidP="682619C9" w:rsidRDefault="0AE8A8BC" w14:paraId="4F1DD8CD" w14:textId="508A9EB0">
      <w:pPr>
        <w:pStyle w:val="ListParagraph"/>
        <w:numPr>
          <w:ilvl w:val="0"/>
          <w:numId w:val="10"/>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Uses the submitted NRP documents together with the analytical grid criteria and reference material; covers both draft and final plan submissions.</w:t>
      </w:r>
    </w:p>
    <w:p w:rsidR="0AE8A8BC" w:rsidP="682619C9" w:rsidRDefault="0AE8A8BC" w14:paraId="42D0332C" w14:textId="60BF56F0">
      <w:pPr>
        <w:pStyle w:val="ListParagraph"/>
        <w:numPr>
          <w:ilvl w:val="0"/>
          <w:numId w:val="10"/>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Out of scope: fully automated approval or rejection of a plan — every rating </w:t>
      </w: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remains</w:t>
      </w:r>
      <w:r w:rsidRPr="682619C9" w:rsidR="0AE8A8BC">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 subject to expert review.</w:t>
      </w:r>
    </w:p>
    <w:p w:rsidRPr="001F354E" w:rsidR="001F354E" w:rsidP="001F354E" w:rsidRDefault="001F354E" w14:paraId="1B4E6B7A" w14:textId="77777777">
      <w:pPr>
        <w:rPr>
          <w:b/>
          <w:bCs/>
        </w:rPr>
      </w:pPr>
      <w:r w:rsidRPr="001F354E">
        <w:rPr>
          <w:b/>
          <w:bCs/>
        </w:rPr>
        <w:t>5. Expected outcome</w:t>
      </w:r>
    </w:p>
    <w:p w:rsidRPr="001F354E" w:rsidR="001F354E" w:rsidP="001F354E" w:rsidRDefault="001F354E" w14:paraId="2A7DECC8" w14:textId="77777777">
      <w:r w:rsidRPr="682619C9" w:rsidR="001F354E">
        <w:rPr>
          <w:b w:val="1"/>
          <w:bCs w:val="1"/>
        </w:rPr>
        <w:t>Describe the concrete result that the use case is expected to deliver.</w:t>
      </w:r>
    </w:p>
    <w:p w:rsidRPr="001F354E" w:rsidR="001F354E" w:rsidP="682619C9" w:rsidRDefault="001F354E" w14:paraId="4B891DAF" w14:textId="5C932379">
      <w:pPr>
        <w:pStyle w:val="Normal"/>
      </w:pPr>
      <w:r w:rsidRPr="682619C9" w:rsidR="60156925">
        <w:rPr>
          <w:rFonts w:ascii="Aptos" w:hAnsi="Aptos" w:eastAsia="Aptos" w:cs="Aptos"/>
          <w:b w:val="0"/>
          <w:bCs w:val="0"/>
          <w:i w:val="0"/>
          <w:iCs w:val="0"/>
          <w:strike w:val="0"/>
          <w:dstrike w:val="0"/>
          <w:noProof w:val="0"/>
          <w:color w:val="000000" w:themeColor="text1" w:themeTint="FF" w:themeShade="FF"/>
          <w:sz w:val="22"/>
          <w:szCs w:val="22"/>
          <w:u w:val="none"/>
          <w:lang w:val="en-GB"/>
        </w:rPr>
        <w:t>(</w:t>
      </w:r>
      <w:r w:rsidRPr="682619C9" w:rsidR="05D6670F">
        <w:rPr>
          <w:rFonts w:ascii="Aptos" w:hAnsi="Aptos" w:eastAsia="Aptos" w:cs="Aptos"/>
          <w:b w:val="0"/>
          <w:bCs w:val="0"/>
          <w:i w:val="0"/>
          <w:iCs w:val="0"/>
          <w:strike w:val="0"/>
          <w:dstrike w:val="0"/>
          <w:noProof w:val="0"/>
          <w:color w:val="000000" w:themeColor="text1" w:themeTint="FF" w:themeShade="FF"/>
          <w:sz w:val="22"/>
          <w:szCs w:val="22"/>
          <w:u w:val="none"/>
          <w:lang w:val="en-GB"/>
        </w:rPr>
        <w:t>The tool is currently employed to assess official reports in production.</w:t>
      </w:r>
      <w:r w:rsidRPr="682619C9" w:rsidR="17FBB62D">
        <w:rPr>
          <w:rFonts w:ascii="Aptos" w:hAnsi="Aptos" w:eastAsia="Aptos" w:cs="Aptos"/>
          <w:b w:val="0"/>
          <w:bCs w:val="0"/>
          <w:i w:val="0"/>
          <w:iCs w:val="0"/>
          <w:strike w:val="0"/>
          <w:dstrike w:val="0"/>
          <w:noProof w:val="0"/>
          <w:color w:val="000000" w:themeColor="text1" w:themeTint="FF" w:themeShade="FF"/>
          <w:sz w:val="22"/>
          <w:szCs w:val="22"/>
          <w:u w:val="none"/>
          <w:lang w:val="en-GB"/>
        </w:rPr>
        <w:t>)</w:t>
      </w:r>
      <w:r w:rsidRPr="682619C9" w:rsidR="05D6670F">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 The expected outcome is faster, more consistent first-pass assessments, with experts spending their time on judgement-intensive review rather than repetitive grid completion. Assessors will work from a structured, referenced draft assessment and a generated report for each plan, rather than compiling one from scratch. Success would be </w:t>
      </w:r>
      <w:r w:rsidRPr="682619C9" w:rsidR="05D6670F">
        <w:rPr>
          <w:rFonts w:ascii="Aptos" w:hAnsi="Aptos" w:eastAsia="Aptos" w:cs="Aptos"/>
          <w:b w:val="0"/>
          <w:bCs w:val="0"/>
          <w:i w:val="0"/>
          <w:iCs w:val="0"/>
          <w:strike w:val="0"/>
          <w:dstrike w:val="0"/>
          <w:noProof w:val="0"/>
          <w:color w:val="000000" w:themeColor="text1" w:themeTint="FF" w:themeShade="FF"/>
          <w:sz w:val="22"/>
          <w:szCs w:val="22"/>
          <w:u w:val="none"/>
          <w:lang w:val="en-GB"/>
        </w:rPr>
        <w:t>demonstrated</w:t>
      </w:r>
      <w:r w:rsidRPr="682619C9" w:rsidR="05D6670F">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 by shorter turnaround per plan, consistent application of the grid across Member States, and positive feedback from assessors using the tool in their daily workflow.</w:t>
      </w:r>
    </w:p>
    <w:p w:rsidRPr="001F354E" w:rsidR="001F354E" w:rsidP="682619C9" w:rsidRDefault="001F354E" w14:paraId="450C5D79" w14:textId="17E6AD5E">
      <w:pPr>
        <w:pStyle w:val="Normal"/>
      </w:pPr>
    </w:p>
    <w:p w:rsidRPr="001F354E" w:rsidR="001F354E" w:rsidP="001F354E" w:rsidRDefault="001F354E" w14:paraId="066AC121" w14:textId="77777777">
      <w:pPr>
        <w:rPr>
          <w:b/>
          <w:bCs/>
        </w:rPr>
      </w:pPr>
      <w:r w:rsidRPr="001F354E">
        <w:rPr>
          <w:b/>
          <w:bCs/>
        </w:rPr>
        <w:t>6. Contribution to the environment and digital agenda</w:t>
      </w:r>
    </w:p>
    <w:p w:rsidRPr="001F354E" w:rsidR="001F354E" w:rsidP="001F354E" w:rsidRDefault="001F354E" w14:paraId="487FBE1E" w14:textId="77777777">
      <w:r w:rsidRPr="001F354E">
        <w:rPr>
          <w:b/>
          <w:bCs/>
        </w:rPr>
        <w:t>Explain how the use case supports both environmental objectives and digital development.</w:t>
      </w:r>
    </w:p>
    <w:p w:rsidRPr="001F354E" w:rsidR="001F354E" w:rsidP="001F354E" w:rsidRDefault="001F354E" w14:paraId="67AD6867" w14:textId="77777777">
      <w:pPr>
        <w:rPr>
          <w:b/>
          <w:bCs/>
        </w:rPr>
      </w:pPr>
      <w:r w:rsidRPr="682619C9" w:rsidR="001F354E">
        <w:rPr>
          <w:b w:val="1"/>
          <w:bCs w:val="1"/>
        </w:rPr>
        <w:t>Environmental contribution</w:t>
      </w:r>
    </w:p>
    <w:p w:rsidR="7E8F3CFD" w:rsidP="682619C9" w:rsidRDefault="7E8F3CFD" w14:paraId="03671F81" w14:textId="53EE419E">
      <w:pPr>
        <w:ind w:left="0"/>
      </w:pPr>
      <w:r w:rsidRPr="682619C9" w:rsidR="7E8F3CFD">
        <w:rPr>
          <w:rFonts w:ascii="Aptos" w:hAnsi="Aptos" w:eastAsia="Aptos" w:cs="Aptos"/>
          <w:b w:val="0"/>
          <w:bCs w:val="0"/>
          <w:i w:val="0"/>
          <w:iCs w:val="0"/>
          <w:strike w:val="0"/>
          <w:dstrike w:val="0"/>
          <w:noProof w:val="0"/>
          <w:color w:val="000000" w:themeColor="text1" w:themeTint="FF" w:themeShade="FF"/>
          <w:sz w:val="22"/>
          <w:szCs w:val="22"/>
          <w:u w:val="none"/>
          <w:lang w:val="en-GB"/>
        </w:rPr>
        <w:t>The use case directly strengthens the evidence base for the Nature Restoration Regulation by making the assessment of National Restoration Plans faster and more consistent, improving the quality and timeliness of feedback to Member States and, ultimately, the environmental monitoring and reporting cycle it supports.</w:t>
      </w:r>
    </w:p>
    <w:p w:rsidRPr="001F354E" w:rsidR="001F354E" w:rsidP="001F354E" w:rsidRDefault="001F354E" w14:paraId="464F973D" w14:textId="2E60FE76">
      <w:pPr>
        <w:rPr>
          <w:b/>
          <w:bCs/>
        </w:rPr>
      </w:pPr>
      <w:r w:rsidRPr="682619C9" w:rsidR="001F354E">
        <w:rPr>
          <w:b w:val="1"/>
          <w:bCs w:val="1"/>
        </w:rPr>
        <w:t>Digital contribution</w:t>
      </w:r>
    </w:p>
    <w:p w:rsidR="4E4872EE" w:rsidP="682619C9" w:rsidRDefault="4E4872EE" w14:paraId="43EE266E" w14:textId="3B44E6BF">
      <w:pPr>
        <w:spacing w:before="0" w:beforeAutospacing="off" w:after="160" w:afterAutospacing="off"/>
      </w:pPr>
      <w:r w:rsidRPr="682619C9" w:rsidR="4E4872EE">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The tool is built to run on hardware ranging from a standard laptop up to a high-end GPU server, with a configurable, model-agnostic architecture that lets new AI models be adopted as they mature. This </w:t>
      </w:r>
      <w:r w:rsidRPr="682619C9" w:rsidR="4E4872EE">
        <w:rPr>
          <w:rFonts w:ascii="Aptos" w:hAnsi="Aptos" w:eastAsia="Aptos" w:cs="Aptos"/>
          <w:b w:val="0"/>
          <w:bCs w:val="0"/>
          <w:i w:val="0"/>
          <w:iCs w:val="0"/>
          <w:strike w:val="0"/>
          <w:dstrike w:val="0"/>
          <w:noProof w:val="0"/>
          <w:color w:val="000000" w:themeColor="text1" w:themeTint="FF" w:themeShade="FF"/>
          <w:sz w:val="22"/>
          <w:szCs w:val="22"/>
          <w:u w:val="none"/>
          <w:lang w:val="en-GB"/>
        </w:rPr>
        <w:t>demonstrates</w:t>
      </w:r>
      <w:r w:rsidRPr="682619C9" w:rsidR="4E4872EE">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 a scalable, </w:t>
      </w:r>
      <w:r w:rsidRPr="682619C9" w:rsidR="4E4872EE">
        <w:rPr>
          <w:rFonts w:ascii="Aptos" w:hAnsi="Aptos" w:eastAsia="Aptos" w:cs="Aptos"/>
          <w:b w:val="0"/>
          <w:bCs w:val="0"/>
          <w:i w:val="0"/>
          <w:iCs w:val="0"/>
          <w:strike w:val="0"/>
          <w:dstrike w:val="0"/>
          <w:noProof w:val="0"/>
          <w:color w:val="000000" w:themeColor="text1" w:themeTint="FF" w:themeShade="FF"/>
          <w:sz w:val="22"/>
          <w:szCs w:val="22"/>
          <w:u w:val="none"/>
          <w:lang w:val="en-GB"/>
        </w:rPr>
        <w:t>reusable</w:t>
      </w:r>
      <w:r w:rsidRPr="682619C9" w:rsidR="4E4872EE">
        <w:rPr>
          <w:rFonts w:ascii="Aptos" w:hAnsi="Aptos" w:eastAsia="Aptos" w:cs="Aptos"/>
          <w:b w:val="0"/>
          <w:bCs w:val="0"/>
          <w:i w:val="0"/>
          <w:iCs w:val="0"/>
          <w:strike w:val="0"/>
          <w:dstrike w:val="0"/>
          <w:noProof w:val="0"/>
          <w:color w:val="000000" w:themeColor="text1" w:themeTint="FF" w:themeShade="FF"/>
          <w:sz w:val="22"/>
          <w:szCs w:val="22"/>
          <w:u w:val="none"/>
          <w:lang w:val="en-GB"/>
        </w:rPr>
        <w:t xml:space="preserve"> and responsible approach to introducing automation into reporting workflows, with human oversight built in throughout.</w:t>
      </w:r>
    </w:p>
    <w:p w:rsidRPr="001F354E" w:rsidR="001F354E" w:rsidP="001F354E" w:rsidRDefault="001F354E" w14:paraId="19A2A49E" w14:textId="77777777">
      <w:r w:rsidRPr="001F354E">
        <w:pict w14:anchorId="78BE89B2">
          <v:rect id="_x0000_i1066" style="width:0;height:1.5pt" o:hr="t" o:hrstd="t" o:hralign="center" fillcolor="#a0a0a0" stroked="f"/>
        </w:pict>
      </w:r>
    </w:p>
    <w:p w:rsidRPr="001F354E" w:rsidR="001F354E" w:rsidP="001F354E" w:rsidRDefault="001F354E" w14:paraId="0F9210FA" w14:textId="77777777">
      <w:pPr>
        <w:rPr>
          <w:b/>
          <w:bCs/>
        </w:rPr>
      </w:pPr>
      <w:r w:rsidRPr="001F354E">
        <w:rPr>
          <w:b/>
          <w:bCs/>
        </w:rPr>
        <w:t>7. Key conditions and considerations</w:t>
      </w:r>
    </w:p>
    <w:p w:rsidRPr="001F354E" w:rsidR="001F354E" w:rsidP="001F354E" w:rsidRDefault="001F354E" w14:paraId="71A1F68C" w14:textId="77777777">
      <w:r w:rsidRPr="682619C9" w:rsidR="001F354E">
        <w:rPr>
          <w:b w:val="1"/>
          <w:bCs w:val="1"/>
        </w:rPr>
        <w:t>Identify the most important requirements, dependencies or risks.</w:t>
      </w:r>
    </w:p>
    <w:p w:rsidR="6381F5FB" w:rsidP="682619C9" w:rsidRDefault="6381F5FB" w14:paraId="5518618B" w14:textId="113BFB7E">
      <w:pPr>
        <w:numPr>
          <w:ilvl w:val="0"/>
          <w:numId w:val="8"/>
        </w:numPr>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6381F5FB">
        <w:rPr>
          <w:rFonts w:ascii="Aptos" w:hAnsi="Aptos" w:eastAsia="Aptos" w:cs="Aptos"/>
          <w:b w:val="0"/>
          <w:bCs w:val="0"/>
          <w:i w:val="0"/>
          <w:iCs w:val="0"/>
          <w:strike w:val="0"/>
          <w:dstrike w:val="0"/>
          <w:noProof w:val="0"/>
          <w:color w:val="000000" w:themeColor="text1" w:themeTint="FF" w:themeShade="FF"/>
          <w:sz w:val="22"/>
          <w:szCs w:val="22"/>
          <w:u w:val="none"/>
          <w:lang w:val="en-GB"/>
        </w:rPr>
        <w:t>Depends on timely access to submitted NRP documents in a consistent, parseable format (ReportNet 3).</w:t>
      </w:r>
    </w:p>
    <w:p w:rsidR="6381F5FB" w:rsidP="682619C9" w:rsidRDefault="6381F5FB" w14:paraId="7FF3C497" w14:textId="5A1B1811">
      <w:pPr>
        <w:pStyle w:val="ListParagraph"/>
        <w:numPr>
          <w:ilvl w:val="0"/>
          <w:numId w:val="8"/>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6381F5FB">
        <w:rPr>
          <w:rFonts w:ascii="Aptos" w:hAnsi="Aptos" w:eastAsia="Aptos" w:cs="Aptos"/>
          <w:b w:val="0"/>
          <w:bCs w:val="0"/>
          <w:i w:val="0"/>
          <w:iCs w:val="0"/>
          <w:strike w:val="0"/>
          <w:dstrike w:val="0"/>
          <w:noProof w:val="0"/>
          <w:color w:val="000000" w:themeColor="text1" w:themeTint="FF" w:themeShade="FF"/>
          <w:sz w:val="22"/>
          <w:szCs w:val="22"/>
          <w:u w:val="none"/>
          <w:lang w:val="en-GB"/>
        </w:rPr>
        <w:t>AI outputs must stay transparent and traceable to source text so experts can validate every rating.</w:t>
      </w:r>
    </w:p>
    <w:p w:rsidR="6381F5FB" w:rsidP="682619C9" w:rsidRDefault="6381F5FB" w14:paraId="2411F09F" w14:textId="1F1BF6CD">
      <w:pPr>
        <w:pStyle w:val="ListParagraph"/>
        <w:numPr>
          <w:ilvl w:val="0"/>
          <w:numId w:val="8"/>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6381F5FB">
        <w:rPr>
          <w:rFonts w:ascii="Aptos" w:hAnsi="Aptos" w:eastAsia="Aptos" w:cs="Aptos"/>
          <w:b w:val="0"/>
          <w:bCs w:val="0"/>
          <w:i w:val="0"/>
          <w:iCs w:val="0"/>
          <w:strike w:val="0"/>
          <w:dstrike w:val="0"/>
          <w:noProof w:val="0"/>
          <w:color w:val="000000" w:themeColor="text1" w:themeTint="FF" w:themeShade="FF"/>
          <w:sz w:val="22"/>
          <w:szCs w:val="22"/>
          <w:u w:val="none"/>
          <w:lang w:val="en-GB"/>
        </w:rPr>
        <w:t>Human review remains mandatory; the tool supports, but never replaces, the assessor's judgement.</w:t>
      </w:r>
    </w:p>
    <w:p w:rsidR="6381F5FB" w:rsidP="682619C9" w:rsidRDefault="6381F5FB" w14:paraId="368B9AFF" w14:textId="7DF12F29">
      <w:pPr>
        <w:pStyle w:val="ListParagraph"/>
        <w:numPr>
          <w:ilvl w:val="0"/>
          <w:numId w:val="8"/>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6381F5FB">
        <w:rPr>
          <w:rFonts w:ascii="Aptos" w:hAnsi="Aptos" w:eastAsia="Aptos" w:cs="Aptos"/>
          <w:b w:val="0"/>
          <w:bCs w:val="0"/>
          <w:i w:val="0"/>
          <w:iCs w:val="0"/>
          <w:strike w:val="0"/>
          <w:dstrike w:val="0"/>
          <w:noProof w:val="0"/>
          <w:color w:val="000000" w:themeColor="text1" w:themeTint="FF" w:themeShade="FF"/>
          <w:sz w:val="22"/>
          <w:szCs w:val="22"/>
          <w:u w:val="none"/>
          <w:lang w:val="en-GB"/>
        </w:rPr>
        <w:t>Runs on flexible infrastructure — from a laptop GPU to an institutional H100 server — via a model switcher, avoiding lock-in to a single AI model or vendor.</w:t>
      </w:r>
    </w:p>
    <w:p w:rsidR="6381F5FB" w:rsidP="682619C9" w:rsidRDefault="6381F5FB" w14:paraId="6D99EECB" w14:textId="5E1AE9A5">
      <w:pPr>
        <w:pStyle w:val="ListParagraph"/>
        <w:numPr>
          <w:ilvl w:val="0"/>
          <w:numId w:val="8"/>
        </w:numPr>
        <w:spacing w:before="0" w:beforeAutospacing="off" w:after="160" w:afterAutospacing="off"/>
        <w:rPr>
          <w:rFonts w:ascii="Aptos" w:hAnsi="Aptos" w:eastAsia="Aptos" w:cs="Aptos"/>
          <w:b w:val="0"/>
          <w:bCs w:val="0"/>
          <w:i w:val="0"/>
          <w:iCs w:val="0"/>
          <w:strike w:val="0"/>
          <w:dstrike w:val="0"/>
          <w:noProof w:val="0"/>
          <w:color w:val="000000" w:themeColor="text1" w:themeTint="FF" w:themeShade="FF"/>
          <w:sz w:val="22"/>
          <w:szCs w:val="22"/>
          <w:u w:val="none"/>
          <w:lang w:val="en-GB"/>
        </w:rPr>
      </w:pPr>
      <w:r w:rsidRPr="682619C9" w:rsidR="6381F5FB">
        <w:rPr>
          <w:rFonts w:ascii="Aptos" w:hAnsi="Aptos" w:eastAsia="Aptos" w:cs="Aptos"/>
          <w:b w:val="0"/>
          <w:bCs w:val="0"/>
          <w:i w:val="0"/>
          <w:iCs w:val="0"/>
          <w:strike w:val="0"/>
          <w:dstrike w:val="0"/>
          <w:noProof w:val="0"/>
          <w:color w:val="000000" w:themeColor="text1" w:themeTint="FF" w:themeShade="FF"/>
          <w:sz w:val="22"/>
          <w:szCs w:val="22"/>
          <w:u w:val="none"/>
          <w:lang w:val="en-GB"/>
        </w:rPr>
        <w:t>Designed for potential reuse in other EEA/Eionet reporting and quality-assessment dataflows.</w:t>
      </w:r>
    </w:p>
    <w:p w:rsidR="682619C9" w:rsidP="682619C9" w:rsidRDefault="682619C9" w14:paraId="4D5486A0" w14:textId="47D143D3">
      <w:pPr>
        <w:ind w:left="0"/>
      </w:pPr>
    </w:p>
    <w:p w:rsidR="006D23FF" w:rsidRDefault="006D23FF" w14:paraId="53854E2B" w14:textId="5F0B2860">
      <w:r>
        <w:br w:type="page"/>
      </w:r>
    </w:p>
    <w:p w:rsidRPr="00421F28" w:rsidR="006D23FF" w:rsidP="006D23FF" w:rsidRDefault="006D23FF" w14:paraId="01E1DEF5" w14:textId="77777777">
      <w:pPr>
        <w:rPr>
          <w:b/>
          <w:bCs/>
        </w:rPr>
      </w:pPr>
      <w:r w:rsidRPr="00421F28">
        <w:rPr>
          <w:b/>
          <w:bCs/>
        </w:rPr>
        <w:t>Example of the intended level of detail</w:t>
      </w:r>
    </w:p>
    <w:p w:rsidRPr="00421F28" w:rsidR="006D23FF" w:rsidP="006D23FF" w:rsidRDefault="006D23FF" w14:paraId="513310DB" w14:textId="77777777">
      <w:pPr>
        <w:rPr>
          <w:b/>
          <w:bCs/>
        </w:rPr>
      </w:pPr>
      <w:r w:rsidRPr="00421F28">
        <w:rPr>
          <w:b/>
          <w:bCs/>
        </w:rPr>
        <w:t>AI-assisted quality control of environmental reporting data</w:t>
      </w:r>
    </w:p>
    <w:p w:rsidRPr="00421F28" w:rsidR="006D23FF" w:rsidP="006D23FF" w:rsidRDefault="006D23FF" w14:paraId="2F1A6FB6" w14:textId="77777777">
      <w:r w:rsidRPr="00421F28">
        <w:rPr>
          <w:b/>
          <w:bCs/>
        </w:rPr>
        <w:t>Main area:</w:t>
      </w:r>
      <w:r w:rsidRPr="00421F28">
        <w:br/>
      </w:r>
      <w:r w:rsidRPr="00421F28">
        <w:t>AI Applications and Value Creation</w:t>
      </w:r>
    </w:p>
    <w:p w:rsidRPr="00421F28" w:rsidR="006D23FF" w:rsidP="006D23FF" w:rsidRDefault="006D23FF" w14:paraId="243C74E8" w14:textId="77777777">
      <w:r w:rsidRPr="00421F28">
        <w:rPr>
          <w:b/>
          <w:bCs/>
        </w:rPr>
        <w:t>Challenge or opportunity:</w:t>
      </w:r>
      <w:r w:rsidRPr="00421F28">
        <w:br/>
      </w:r>
      <w:r w:rsidRPr="00421F28">
        <w:t>Currently, reporting and data experts spend substantial effort identifying missing values, inconsistencies and unusual patterns in environmental reporting data. This can delay feedback to reporters and reduce the time available for expert analysis.</w:t>
      </w:r>
    </w:p>
    <w:p w:rsidRPr="00421F28" w:rsidR="006D23FF" w:rsidP="006D23FF" w:rsidRDefault="006D23FF" w14:paraId="3E5DAF50" w14:textId="77777777">
      <w:r w:rsidRPr="00421F28">
        <w:rPr>
          <w:b/>
          <w:bCs/>
        </w:rPr>
        <w:t>Proposed use of AI:</w:t>
      </w:r>
      <w:r w:rsidRPr="00421F28">
        <w:br/>
      </w:r>
      <w:r w:rsidRPr="00421F28">
        <w:t>The use case would apply AI to identify and prioritise potential anomalies in submitted environmental data. It would support reporting and data experts by directing their attention to records requiring further review, while experts would remain responsible for validating findings and deciding on follow-up.</w:t>
      </w:r>
    </w:p>
    <w:p w:rsidRPr="00421F28" w:rsidR="006D23FF" w:rsidP="006D23FF" w:rsidRDefault="006D23FF" w14:paraId="2B1B7165" w14:textId="77777777">
      <w:r w:rsidRPr="00421F28">
        <w:rPr>
          <w:b/>
          <w:bCs/>
        </w:rPr>
        <w:t>Scope:</w:t>
      </w:r>
      <w:r w:rsidRPr="00421F28">
        <w:br/>
      </w:r>
      <w:r w:rsidRPr="00421F28">
        <w:t>The use case covers initial quality screening of selected environmental reporting dataflows. It uses submitted data, validation rules and relevant historical records. It does not include fully automated acceptance or rejection of reported data.</w:t>
      </w:r>
    </w:p>
    <w:p w:rsidRPr="00421F28" w:rsidR="006D23FF" w:rsidP="006D23FF" w:rsidRDefault="006D23FF" w14:paraId="56DA07A8" w14:textId="77777777">
      <w:r w:rsidRPr="00421F28">
        <w:rPr>
          <w:b/>
          <w:bCs/>
        </w:rPr>
        <w:t>Expected outcome:</w:t>
      </w:r>
      <w:r w:rsidRPr="00421F28">
        <w:br/>
      </w:r>
      <w:r w:rsidRPr="00421F28">
        <w:t>The expected outcome is earlier identification of potential data-quality issues and more focused use of expert capacity. Success would be demonstrated by useful detection of anomalies, faster feedback and reduced repetitive screening.</w:t>
      </w:r>
    </w:p>
    <w:p w:rsidRPr="00421F28" w:rsidR="006D23FF" w:rsidP="006D23FF" w:rsidRDefault="006D23FF" w14:paraId="05649B51" w14:textId="77777777">
      <w:r w:rsidRPr="00421F28">
        <w:rPr>
          <w:b/>
          <w:bCs/>
        </w:rPr>
        <w:t>Contribution to the environment and digital agenda:</w:t>
      </w:r>
      <w:r w:rsidRPr="00421F28">
        <w:br/>
      </w:r>
      <w:r w:rsidRPr="00421F28">
        <w:t>The use case contributes to the environmental agenda by improving the reliability and timeliness of information used for environmental monitoring and assessment. It supports the digital agenda by strengthening data quality and introducing responsible automation into reporting services.</w:t>
      </w:r>
    </w:p>
    <w:p w:rsidRPr="00421F28" w:rsidR="006D23FF" w:rsidP="006D23FF" w:rsidRDefault="006D23FF" w14:paraId="7FA71963" w14:textId="77777777">
      <w:r w:rsidRPr="00421F28">
        <w:rPr>
          <w:b/>
          <w:bCs/>
        </w:rPr>
        <w:t>Key conditions and considerations:</w:t>
      </w:r>
    </w:p>
    <w:p w:rsidRPr="00421F28" w:rsidR="006D23FF" w:rsidP="006D23FF" w:rsidRDefault="006D23FF" w14:paraId="4885D630" w14:textId="77777777">
      <w:pPr>
        <w:numPr>
          <w:ilvl w:val="0"/>
          <w:numId w:val="9"/>
        </w:numPr>
      </w:pPr>
      <w:r w:rsidRPr="00421F28">
        <w:t>Suitable and representative data must be available.</w:t>
      </w:r>
    </w:p>
    <w:p w:rsidRPr="00421F28" w:rsidR="006D23FF" w:rsidP="006D23FF" w:rsidRDefault="006D23FF" w14:paraId="5176C694" w14:textId="77777777">
      <w:pPr>
        <w:numPr>
          <w:ilvl w:val="0"/>
          <w:numId w:val="9"/>
        </w:numPr>
      </w:pPr>
      <w:r w:rsidRPr="00421F28">
        <w:t>Results must be transparent enough for expert validation.</w:t>
      </w:r>
    </w:p>
    <w:p w:rsidRPr="00421F28" w:rsidR="006D23FF" w:rsidP="006D23FF" w:rsidRDefault="006D23FF" w14:paraId="54ACFF1F" w14:textId="77777777">
      <w:pPr>
        <w:numPr>
          <w:ilvl w:val="0"/>
          <w:numId w:val="9"/>
        </w:numPr>
      </w:pPr>
      <w:r w:rsidRPr="00421F28">
        <w:t>Data ownership and responsibilities must be clear.</w:t>
      </w:r>
    </w:p>
    <w:p w:rsidRPr="00421F28" w:rsidR="006D23FF" w:rsidP="006D23FF" w:rsidRDefault="006D23FF" w14:paraId="0BC41C8F" w14:textId="77777777">
      <w:pPr>
        <w:numPr>
          <w:ilvl w:val="0"/>
          <w:numId w:val="9"/>
        </w:numPr>
      </w:pPr>
      <w:r w:rsidRPr="00421F28">
        <w:t>Human review must remain part of the workflow.</w:t>
      </w:r>
    </w:p>
    <w:p w:rsidRPr="00421F28" w:rsidR="006D23FF" w:rsidP="006D23FF" w:rsidRDefault="006D23FF" w14:paraId="7D885AAF" w14:textId="77777777">
      <w:pPr>
        <w:numPr>
          <w:ilvl w:val="0"/>
          <w:numId w:val="9"/>
        </w:numPr>
      </w:pPr>
      <w:r w:rsidRPr="00421F28">
        <w:t>The solution should be designed for possible reuse across dataflows.</w:t>
      </w:r>
    </w:p>
    <w:p w:rsidR="006D23FF" w:rsidRDefault="006D23FF" w14:paraId="5D72382C" w14:textId="77777777"/>
    <w:sectPr w:rsidR="006D23F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57cd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503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DA717B"/>
    <w:multiLevelType w:val="multilevel"/>
    <w:tmpl w:val="8C0AC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5753345"/>
    <w:multiLevelType w:val="multilevel"/>
    <w:tmpl w:val="1E005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A6752A6"/>
    <w:multiLevelType w:val="multilevel"/>
    <w:tmpl w:val="BDFE3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A15221"/>
    <w:multiLevelType w:val="multilevel"/>
    <w:tmpl w:val="FF9E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9BA1D8F"/>
    <w:multiLevelType w:val="multilevel"/>
    <w:tmpl w:val="3FB20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
    <w:abstractNumId w:val="10"/>
  </w:num>
  <w:num w:numId="10">
    <w:abstractNumId w:val="9"/>
  </w:num>
  <w:num w:numId="1" w16cid:durableId="339624240">
    <w:abstractNumId w:val="6"/>
  </w:num>
  <w:num w:numId="2" w16cid:durableId="1245992449">
    <w:abstractNumId w:val="1"/>
  </w:num>
  <w:num w:numId="3" w16cid:durableId="1067532767">
    <w:abstractNumId w:val="4"/>
  </w:num>
  <w:num w:numId="4" w16cid:durableId="1036537881">
    <w:abstractNumId w:val="5"/>
  </w:num>
  <w:num w:numId="5" w16cid:durableId="1203714998">
    <w:abstractNumId w:val="3"/>
  </w:num>
  <w:num w:numId="6" w16cid:durableId="1087338183">
    <w:abstractNumId w:val="0"/>
  </w:num>
  <w:num w:numId="7" w16cid:durableId="1932275384">
    <w:abstractNumId w:val="7"/>
  </w:num>
  <w:num w:numId="8" w16cid:durableId="273482638">
    <w:abstractNumId w:val="2"/>
  </w:num>
  <w:num w:numId="9" w16cid:durableId="182794163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107550"/>
    <w:rsid w:val="001F354E"/>
    <w:rsid w:val="00280834"/>
    <w:rsid w:val="006D23FF"/>
    <w:rsid w:val="00873099"/>
    <w:rsid w:val="00E307B0"/>
    <w:rsid w:val="00EC6320"/>
    <w:rsid w:val="00FE59DB"/>
    <w:rsid w:val="05D6670F"/>
    <w:rsid w:val="05D82430"/>
    <w:rsid w:val="0AE8A8BC"/>
    <w:rsid w:val="0BB3960B"/>
    <w:rsid w:val="101BDC10"/>
    <w:rsid w:val="17FBB62D"/>
    <w:rsid w:val="1BE727DC"/>
    <w:rsid w:val="2228E131"/>
    <w:rsid w:val="263EA1F0"/>
    <w:rsid w:val="26765857"/>
    <w:rsid w:val="31768E63"/>
    <w:rsid w:val="32E9A3AE"/>
    <w:rsid w:val="33F3E4D8"/>
    <w:rsid w:val="3A841A3C"/>
    <w:rsid w:val="3AA2B71E"/>
    <w:rsid w:val="3D1C774E"/>
    <w:rsid w:val="3EF38642"/>
    <w:rsid w:val="3EF53642"/>
    <w:rsid w:val="4E4872EE"/>
    <w:rsid w:val="50E23ED5"/>
    <w:rsid w:val="598D22FC"/>
    <w:rsid w:val="60156925"/>
    <w:rsid w:val="6172D802"/>
    <w:rsid w:val="6381F5FB"/>
    <w:rsid w:val="67B0151C"/>
    <w:rsid w:val="682619C9"/>
    <w:rsid w:val="796FCD77"/>
    <w:rsid w:val="7B006DFA"/>
    <w:rsid w:val="7E8F3C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F35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5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F354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F354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F354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F354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F354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F35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F35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F35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F354E"/>
    <w:rPr>
      <w:rFonts w:eastAsiaTheme="majorEastAsia" w:cstheme="majorBidi"/>
      <w:color w:val="272727" w:themeColor="text1" w:themeTint="D8"/>
    </w:rPr>
  </w:style>
  <w:style w:type="paragraph" w:styleId="Title">
    <w:name w:val="Title"/>
    <w:basedOn w:val="Normal"/>
    <w:next w:val="Normal"/>
    <w:link w:val="TitleChar"/>
    <w:uiPriority w:val="10"/>
    <w:qFormat/>
    <w:rsid w:val="001F354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F35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F354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F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54E"/>
    <w:pPr>
      <w:spacing w:before="160"/>
      <w:jc w:val="center"/>
    </w:pPr>
    <w:rPr>
      <w:i/>
      <w:iCs/>
      <w:color w:val="404040" w:themeColor="text1" w:themeTint="BF"/>
    </w:rPr>
  </w:style>
  <w:style w:type="character" w:styleId="QuoteChar" w:customStyle="1">
    <w:name w:val="Quote Char"/>
    <w:basedOn w:val="DefaultParagraphFont"/>
    <w:link w:val="Quote"/>
    <w:uiPriority w:val="29"/>
    <w:rsid w:val="001F354E"/>
    <w:rPr>
      <w:i/>
      <w:iCs/>
      <w:color w:val="404040" w:themeColor="text1" w:themeTint="BF"/>
    </w:rPr>
  </w:style>
  <w:style w:type="paragraph" w:styleId="ListParagraph">
    <w:name w:val="List Paragraph"/>
    <w:basedOn w:val="Normal"/>
    <w:uiPriority w:val="34"/>
    <w:qFormat/>
    <w:rsid w:val="001F354E"/>
    <w:pPr>
      <w:ind w:left="720"/>
      <w:contextualSpacing/>
    </w:pPr>
  </w:style>
  <w:style w:type="character" w:styleId="IntenseEmphasis">
    <w:name w:val="Intense Emphasis"/>
    <w:basedOn w:val="DefaultParagraphFont"/>
    <w:uiPriority w:val="21"/>
    <w:qFormat/>
    <w:rsid w:val="001F354E"/>
    <w:rPr>
      <w:i/>
      <w:iCs/>
      <w:color w:val="0F4761" w:themeColor="accent1" w:themeShade="BF"/>
    </w:rPr>
  </w:style>
  <w:style w:type="paragraph" w:styleId="IntenseQuote">
    <w:name w:val="Intense Quote"/>
    <w:basedOn w:val="Normal"/>
    <w:next w:val="Normal"/>
    <w:link w:val="IntenseQuoteChar"/>
    <w:uiPriority w:val="30"/>
    <w:qFormat/>
    <w:rsid w:val="001F35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F354E"/>
    <w:rPr>
      <w:i/>
      <w:iCs/>
      <w:color w:val="0F4761" w:themeColor="accent1" w:themeShade="BF"/>
    </w:rPr>
  </w:style>
  <w:style w:type="character" w:styleId="IntenseReference">
    <w:name w:val="Intense Reference"/>
    <w:basedOn w:val="DefaultParagraphFont"/>
    <w:uiPriority w:val="32"/>
    <w:qFormat/>
    <w:rsid w:val="001F354E"/>
    <w:rPr>
      <w:b/>
      <w:bCs/>
      <w:smallCaps/>
      <w:color w:val="0F4761" w:themeColor="accent1" w:themeShade="BF"/>
      <w:spacing w:val="5"/>
    </w:rPr>
  </w:style>
  <w:style w:type="character" w:styleId="Hyperlink">
    <w:name w:val="Hyperlink"/>
    <w:basedOn w:val="DefaultParagraphFont"/>
    <w:uiPriority w:val="99"/>
    <w:unhideWhenUsed/>
    <w:rsid w:val="001F354E"/>
    <w:rPr>
      <w:color w:val="467886" w:themeColor="hyperlink"/>
      <w:u w:val="single"/>
    </w:rPr>
  </w:style>
  <w:style w:type="character" w:styleId="UnresolvedMention">
    <w:name w:val="Unresolved Mention"/>
    <w:basedOn w:val="DefaultParagraphFont"/>
    <w:uiPriority w:val="99"/>
    <w:semiHidden/>
    <w:unhideWhenUsed/>
    <w:rsid w:val="001F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customXml" Target="../customXml/item4.xml" Id="rId10"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EIONET-1333827832-65117</_dlc_DocId>
    <_dlc_DocIdUrl xmlns="0f6cf646-3f47-4639-ab1a-910193be0788">
      <Url>https://eea1.sharepoint.com/teams/-EXT-Eionet/_layouts/15/DocIdRedir.aspx?ID=EIONET-1333827832-65117</Url>
      <Description>EIONET-1333827832-65117</Description>
    </_dlc_DocIdUrl>
  </documentManagement>
</p:properties>
</file>

<file path=customXml/itemProps1.xml><?xml version="1.0" encoding="utf-8"?>
<ds:datastoreItem xmlns:ds="http://schemas.openxmlformats.org/officeDocument/2006/customXml" ds:itemID="{F4923955-EC68-44F6-A0A0-2C6118E1333E}"/>
</file>

<file path=customXml/itemProps2.xml><?xml version="1.0" encoding="utf-8"?>
<ds:datastoreItem xmlns:ds="http://schemas.openxmlformats.org/officeDocument/2006/customXml" ds:itemID="{70999938-5440-4F4C-B397-CEB502550570}"/>
</file>

<file path=customXml/itemProps3.xml><?xml version="1.0" encoding="utf-8"?>
<ds:datastoreItem xmlns:ds="http://schemas.openxmlformats.org/officeDocument/2006/customXml" ds:itemID="{988A791C-054A-4C21-9CB4-E5949530D5A8}"/>
</file>

<file path=customXml/itemProps4.xml><?xml version="1.0" encoding="utf-8"?>
<ds:datastoreItem xmlns:ds="http://schemas.openxmlformats.org/officeDocument/2006/customXml" ds:itemID="{75EF4528-90DE-4BD5-8669-B752BF295F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European Environment Agency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Gregor Rosenauer (AT)</cp:lastModifiedBy>
  <cp:revision>5</cp:revision>
  <dcterms:created xsi:type="dcterms:W3CDTF">2026-09-04T14:53:00Z</dcterms:created>
  <dcterms:modified xsi:type="dcterms:W3CDTF">2026-09-14T09:26:02Z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2dee0c49-3d2d-479c-a42b-1a9817b848b0</vt:lpwstr>
  </property>
  <property fmtid="{D5CDD505-2E9C-101B-9397-08002B2CF9AE}" pid="12" name="MediaServiceImageTags">
    <vt:lpwstr/>
  </property>
  <property fmtid="{D5CDD505-2E9C-101B-9397-08002B2CF9AE}" pid="14" name="docLang">
    <vt:lpwstr>en</vt:lpwstr>
  </property>
</Properties>
</file>