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3C2E" w14:textId="55F4C7B4" w:rsidR="001F354E" w:rsidRPr="00107550" w:rsidRDefault="001F354E" w:rsidP="001F354E">
      <w:pPr>
        <w:pStyle w:val="Title"/>
        <w:rPr>
          <w:b/>
          <w:bCs/>
          <w:sz w:val="28"/>
          <w:szCs w:val="28"/>
        </w:rPr>
      </w:pPr>
      <w:r>
        <w:rPr>
          <w:color w:val="000000"/>
        </w:rPr>
        <w:t>ENVAI use case</w:t>
      </w:r>
    </w:p>
    <w:p w14:paraId="5AF37F29" w14:textId="77777777" w:rsidR="001F354E" w:rsidRPr="001F354E" w:rsidRDefault="001F354E" w:rsidP="001F354E">
      <w:pPr>
        <w:rPr>
          <w:b/>
          <w:bCs/>
        </w:rPr>
      </w:pPr>
      <w:r>
        <w:rPr>
          <w:b/>
          <w:color w:val="000000"/>
        </w:rPr>
        <w:t>Responsible AI support for environmental administration and ICT activities</w:t>
      </w:r>
    </w:p>
    <w:p w14:paraId="4A62288D" w14:textId="77777777" w:rsidR="001F354E" w:rsidRPr="001F354E" w:rsidRDefault="001F354E" w:rsidP="001F354E">
      <w:pPr>
        <w:keepNext/>
        <w:rPr>
          <w:b/>
          <w:bCs/>
        </w:rPr>
      </w:pPr>
      <w:r w:rsidRPr="001F354E">
        <w:rPr>
          <w:b/>
          <w:bCs/>
        </w:rPr>
        <w:t>1. Main area</w:t>
      </w:r>
    </w:p>
    <w:p w14:paraId="32BA8F34" w14:textId="77777777" w:rsidR="001F354E" w:rsidRPr="001F354E" w:rsidRDefault="001F354E" w:rsidP="001F354E">
      <w:r w:rsidRPr="001F354E">
        <w:t>Select the area to which the use case primarily belongs:</w:t>
      </w:r>
    </w:p>
    <w:p w14:paraId="3A147989" w14:textId="77777777" w:rsidR="001F354E" w:rsidRPr="001F354E" w:rsidRDefault="001F354E" w:rsidP="001F354E">
      <w:pPr>
        <w:numPr>
          <w:ilvl w:val="0"/>
          <w:numId w:val="1"/>
        </w:numPr>
      </w:pPr>
      <w:r w:rsidRPr="001F354E">
        <w:t xml:space="preserve">☐ </w:t>
      </w:r>
      <w:r w:rsidRPr="001F354E">
        <w:rPr>
          <w:b/>
          <w:bCs/>
        </w:rPr>
        <w:t>Strategy, Governance and Organisation</w:t>
      </w:r>
    </w:p>
    <w:p w14:paraId="3E8746B9" w14:textId="77777777" w:rsidR="001F354E" w:rsidRPr="001F354E" w:rsidRDefault="001F354E" w:rsidP="001F354E">
      <w:pPr>
        <w:numPr>
          <w:ilvl w:val="0"/>
          <w:numId w:val="1"/>
        </w:numPr>
      </w:pPr>
      <w:r w:rsidRPr="001F354E">
        <w:t xml:space="preserve">☐ </w:t>
      </w:r>
      <w:r w:rsidRPr="001F354E">
        <w:rPr>
          <w:b/>
          <w:bCs/>
        </w:rPr>
        <w:t>People, Skills and Ways of Working</w:t>
      </w:r>
    </w:p>
    <w:p w14:paraId="66B10BC2" w14:textId="77777777" w:rsidR="001F354E" w:rsidRPr="001F354E" w:rsidRDefault="001F354E" w:rsidP="001F354E">
      <w:pPr>
        <w:numPr>
          <w:ilvl w:val="0"/>
          <w:numId w:val="1"/>
        </w:numPr>
      </w:pPr>
      <w:r w:rsidRPr="001F354E">
        <w:t xml:space="preserve">☐ </w:t>
      </w:r>
      <w:r w:rsidRPr="001F354E">
        <w:rPr>
          <w:b/>
          <w:bCs/>
        </w:rPr>
        <w:t>Data, Technologies and Infrastructure</w:t>
      </w:r>
    </w:p>
    <w:p w14:paraId="311D088A" w14:textId="77777777" w:rsidR="001F354E" w:rsidRPr="001F354E" w:rsidRDefault="001F354E" w:rsidP="001F354E">
      <w:pPr>
        <w:numPr>
          <w:ilvl w:val="0"/>
          <w:numId w:val="1"/>
        </w:numPr>
      </w:pPr>
      <w:r w:rsidRPr="001F354E">
        <w:t xml:space="preserve">☒ </w:t>
      </w:r>
      <w:r w:rsidRPr="001F354E">
        <w:rPr>
          <w:b/>
          <w:bCs/>
        </w:rPr>
        <w:t>AI Applications and Value Creation</w:t>
      </w:r>
    </w:p>
    <w:p w14:paraId="41DD61A9" w14:textId="77777777" w:rsidR="001F354E" w:rsidRPr="001F354E" w:rsidRDefault="001F354E" w:rsidP="001F354E">
      <w:pPr>
        <w:keepNext/>
        <w:rPr>
          <w:b/>
          <w:bCs/>
        </w:rPr>
      </w:pPr>
      <w:r w:rsidRPr="001F354E">
        <w:rPr>
          <w:b/>
          <w:bCs/>
        </w:rPr>
        <w:t>2. Challenge or opportunity</w:t>
      </w:r>
    </w:p>
    <w:p w14:paraId="64F86DD4" w14:textId="77777777" w:rsidR="001F354E" w:rsidRPr="001F354E" w:rsidRDefault="001F354E" w:rsidP="001F354E">
      <w:pPr>
        <w:spacing w:before="80" w:after="240" w:line="240" w:lineRule="auto"/>
      </w:pPr>
      <w:r>
        <w:rPr>
          <w:rFonts w:ascii="Arial" w:hAnsi="Arial"/>
          <w:color w:val="000000"/>
          <w:sz w:val="21"/>
        </w:rPr>
        <w:t>AI capabilities across the Ministry of Environment of the Slovak Republic (MŽP SR) and its sectoral organisations are currently developed through isolated pilots, with manual preparation of data and models and no shared register, governance framework or operational environment. This results in repeated project effort, deployment cycles often exceeding 12 months, limited reuse and inconsistent visibility of risks and performance. Staff responsible for environmental information, permitting, reporting and ICT therefore lack systematic AI support for handling large volumes of documents and heterogeneous data. Addressing this gap is important to improve the quality and speed of environmental services and evidence-based decisions while ensuring compliance and human oversight.</w:t>
      </w:r>
    </w:p>
    <w:p w14:paraId="299A4B43" w14:textId="77777777" w:rsidR="001F354E" w:rsidRPr="001F354E" w:rsidRDefault="001F354E" w:rsidP="001F354E">
      <w:pPr>
        <w:keepNext/>
        <w:rPr>
          <w:b/>
          <w:bCs/>
        </w:rPr>
      </w:pPr>
      <w:r w:rsidRPr="001F354E">
        <w:rPr>
          <w:b/>
          <w:bCs/>
        </w:rPr>
        <w:t>3. Proposed use of AI</w:t>
      </w:r>
    </w:p>
    <w:p w14:paraId="1F461CBD" w14:textId="28407009" w:rsidR="001F354E" w:rsidRPr="001F354E" w:rsidRDefault="001F354E" w:rsidP="001F354E">
      <w:pPr>
        <w:spacing w:before="80" w:after="240" w:line="240" w:lineRule="auto"/>
      </w:pPr>
      <w:r>
        <w:rPr>
          <w:rFonts w:ascii="Arial" w:hAnsi="Arial"/>
          <w:color w:val="000000"/>
          <w:sz w:val="21"/>
        </w:rPr>
        <w:t>ENVAI would provide a shared framework and platform for AI-assisted analysis of environmental data and documents across existing processes and services. AI would support intelligent search, classification and routing of submissions, information extraction and summarisation of EIA/SEA</w:t>
      </w:r>
      <w:r w:rsidR="005849EE">
        <w:rPr>
          <w:rFonts w:ascii="Arial" w:hAnsi="Arial"/>
          <w:color w:val="000000"/>
          <w:sz w:val="21"/>
        </w:rPr>
        <w:t>,</w:t>
      </w:r>
      <w:r>
        <w:rPr>
          <w:rFonts w:ascii="Arial" w:hAnsi="Arial"/>
          <w:color w:val="000000"/>
          <w:sz w:val="21"/>
        </w:rPr>
        <w:t xml:space="preserve"> </w:t>
      </w:r>
      <w:r w:rsidR="005849EE" w:rsidRPr="005849EE">
        <w:rPr>
          <w:rFonts w:ascii="Arial" w:hAnsi="Arial"/>
          <w:color w:val="000000"/>
          <w:sz w:val="21"/>
        </w:rPr>
        <w:t>Integrated Pollution Prevention and Control (IPPC</w:t>
      </w:r>
      <w:r w:rsidR="005849EE">
        <w:rPr>
          <w:rFonts w:ascii="Arial" w:hAnsi="Arial"/>
          <w:color w:val="000000"/>
          <w:sz w:val="21"/>
        </w:rPr>
        <w:t>)</w:t>
      </w:r>
      <w:r>
        <w:rPr>
          <w:rFonts w:ascii="Arial" w:hAnsi="Arial"/>
          <w:color w:val="000000"/>
          <w:sz w:val="21"/>
        </w:rPr>
        <w:t xml:space="preserve"> </w:t>
      </w:r>
      <w:r w:rsidR="005849EE">
        <w:rPr>
          <w:rFonts w:ascii="Arial" w:hAnsi="Arial"/>
          <w:color w:val="000000"/>
          <w:sz w:val="21"/>
        </w:rPr>
        <w:t xml:space="preserve">and other </w:t>
      </w:r>
      <w:r>
        <w:rPr>
          <w:rFonts w:ascii="Arial" w:hAnsi="Arial"/>
          <w:color w:val="000000"/>
          <w:sz w:val="21"/>
        </w:rPr>
        <w:t>materials, anomaly detection in measurements and spatial data, data-quality control, language services, and detection of environmental changes that may warrant expert review. Staff would access these capabilities through existing sectoral systems and services integrated with ENVAI, while reusable MLOps services would support controlled testing, deployment and monitoring. Competent employees would validate outputs and retain responsibility for every administrative or enforcement decision; ENVAI would not make autonomous decisions in administrative proceedings.</w:t>
      </w:r>
    </w:p>
    <w:p w14:paraId="5FC93881" w14:textId="77777777" w:rsidR="001F354E" w:rsidRPr="001F354E" w:rsidRDefault="001F354E" w:rsidP="001F354E">
      <w:pPr>
        <w:keepNext/>
        <w:rPr>
          <w:b/>
          <w:bCs/>
        </w:rPr>
      </w:pPr>
      <w:r w:rsidRPr="001F354E">
        <w:rPr>
          <w:b/>
          <w:bCs/>
        </w:rPr>
        <w:t>4. Scope</w:t>
      </w:r>
    </w:p>
    <w:p w14:paraId="45898F65" w14:textId="1A279A89" w:rsidR="001F354E" w:rsidRPr="001F354E" w:rsidRDefault="001F354E" w:rsidP="001F354E">
      <w:pPr>
        <w:keepLines/>
        <w:numPr>
          <w:ilvl w:val="0"/>
          <w:numId w:val="4"/>
        </w:numPr>
        <w:spacing w:before="20" w:after="80" w:line="240" w:lineRule="auto"/>
      </w:pPr>
      <w:r>
        <w:rPr>
          <w:rFonts w:ascii="Arial" w:hAnsi="Arial"/>
          <w:color w:val="000000"/>
          <w:sz w:val="21"/>
        </w:rPr>
        <w:t xml:space="preserve">Processes and users: the cross-cutting ENVAI process supporting processes P1–P9 </w:t>
      </w:r>
      <w:r w:rsidR="00DC5801">
        <w:rPr>
          <w:rFonts w:ascii="Arial" w:hAnsi="Arial"/>
          <w:color w:val="000000"/>
          <w:sz w:val="21"/>
        </w:rPr>
        <w:t xml:space="preserve">(from proposal of the MZP SR ICT strategy) </w:t>
      </w:r>
      <w:r>
        <w:rPr>
          <w:rFonts w:ascii="Arial" w:hAnsi="Arial"/>
          <w:color w:val="000000"/>
          <w:sz w:val="21"/>
        </w:rPr>
        <w:t>and services S1–S9; principal users are MŽP SR, the Slovak Environment Agency (SAŽP) and other sectoral organisations, with the public benefiting indirectly through improved services.</w:t>
      </w:r>
    </w:p>
    <w:p w14:paraId="494EEA0F" w14:textId="77777777" w:rsidR="009A180B" w:rsidRDefault="00000000">
      <w:pPr>
        <w:keepLines/>
        <w:numPr>
          <w:ilvl w:val="0"/>
          <w:numId w:val="4"/>
        </w:numPr>
        <w:spacing w:before="20" w:after="80" w:line="240" w:lineRule="auto"/>
      </w:pPr>
      <w:r>
        <w:rPr>
          <w:rFonts w:ascii="Arial" w:hAnsi="Arial"/>
          <w:color w:val="000000"/>
          <w:sz w:val="21"/>
        </w:rPr>
        <w:t>Information: environmental and spatial data, measurements, submissions, administrative and technical documents, validation rules, training and reference datasets, model artefacts, metrics and audit records.</w:t>
      </w:r>
    </w:p>
    <w:p w14:paraId="73762F84" w14:textId="4DE1BB7B" w:rsidR="009A180B" w:rsidRDefault="00000000">
      <w:pPr>
        <w:keepLines/>
        <w:numPr>
          <w:ilvl w:val="0"/>
          <w:numId w:val="4"/>
        </w:numPr>
        <w:spacing w:before="20" w:after="80" w:line="240" w:lineRule="auto"/>
      </w:pPr>
      <w:r>
        <w:rPr>
          <w:rFonts w:ascii="Arial" w:hAnsi="Arial"/>
          <w:color w:val="000000"/>
          <w:sz w:val="21"/>
        </w:rPr>
        <w:t xml:space="preserve">Coverage: environmental administration and ICT activities across the Slovak environmental sector, with capabilities integrated into existing </w:t>
      </w:r>
      <w:r w:rsidR="00DC5801">
        <w:rPr>
          <w:rFonts w:ascii="Arial" w:hAnsi="Arial"/>
          <w:color w:val="000000"/>
          <w:sz w:val="21"/>
        </w:rPr>
        <w:t xml:space="preserve">and foreseen information </w:t>
      </w:r>
      <w:r>
        <w:rPr>
          <w:rFonts w:ascii="Arial" w:hAnsi="Arial"/>
          <w:color w:val="000000"/>
          <w:sz w:val="21"/>
        </w:rPr>
        <w:t xml:space="preserve">systems, documented APIs, the sectoral data catalogue and </w:t>
      </w:r>
      <w:r w:rsidR="00DC5801" w:rsidRPr="00DC5801">
        <w:rPr>
          <w:rFonts w:ascii="Arial" w:hAnsi="Arial"/>
          <w:color w:val="000000"/>
          <w:sz w:val="21"/>
        </w:rPr>
        <w:t>Information Technology Service Management</w:t>
      </w:r>
      <w:r w:rsidR="00DC5801" w:rsidRPr="00DC5801">
        <w:rPr>
          <w:rFonts w:ascii="Arial" w:hAnsi="Arial"/>
          <w:color w:val="000000"/>
          <w:sz w:val="21"/>
        </w:rPr>
        <w:t xml:space="preserve"> </w:t>
      </w:r>
      <w:r w:rsidR="00DC5801">
        <w:rPr>
          <w:rFonts w:ascii="Arial" w:hAnsi="Arial"/>
          <w:color w:val="000000"/>
          <w:sz w:val="21"/>
        </w:rPr>
        <w:t>(</w:t>
      </w:r>
      <w:r>
        <w:rPr>
          <w:rFonts w:ascii="Arial" w:hAnsi="Arial"/>
          <w:color w:val="000000"/>
          <w:sz w:val="21"/>
        </w:rPr>
        <w:t>ITSM</w:t>
      </w:r>
      <w:r w:rsidR="00DC5801">
        <w:rPr>
          <w:rFonts w:ascii="Arial" w:hAnsi="Arial"/>
          <w:color w:val="000000"/>
          <w:sz w:val="21"/>
        </w:rPr>
        <w:t>)</w:t>
      </w:r>
      <w:r>
        <w:rPr>
          <w:rFonts w:ascii="Arial" w:hAnsi="Arial"/>
          <w:color w:val="000000"/>
          <w:sz w:val="21"/>
        </w:rPr>
        <w:t>.</w:t>
      </w:r>
    </w:p>
    <w:p w14:paraId="1809D4A4" w14:textId="77777777" w:rsidR="009A180B" w:rsidRDefault="00000000">
      <w:pPr>
        <w:keepLines/>
        <w:numPr>
          <w:ilvl w:val="0"/>
          <w:numId w:val="4"/>
        </w:numPr>
        <w:spacing w:before="20" w:after="240" w:line="240" w:lineRule="auto"/>
      </w:pPr>
      <w:r>
        <w:rPr>
          <w:rFonts w:ascii="Arial" w:hAnsi="Arial"/>
          <w:color w:val="000000"/>
          <w:sz w:val="21"/>
        </w:rPr>
        <w:lastRenderedPageBreak/>
        <w:t>Outside scope: autonomous decisions in administrative proceedings, replacement of expert judgement, or creation of a separate public-facing service; initial deployment will prioritise approved use cases and data for which access, quality and legal conditions have been confirmed.</w:t>
      </w:r>
    </w:p>
    <w:p w14:paraId="4C2F4A74" w14:textId="77777777" w:rsidR="001F354E" w:rsidRPr="001F354E" w:rsidRDefault="001F354E" w:rsidP="001F354E">
      <w:pPr>
        <w:keepNext/>
        <w:rPr>
          <w:b/>
          <w:bCs/>
        </w:rPr>
      </w:pPr>
      <w:r w:rsidRPr="001F354E">
        <w:rPr>
          <w:b/>
          <w:bCs/>
        </w:rPr>
        <w:t>5. Expected outcome</w:t>
      </w:r>
    </w:p>
    <w:p w14:paraId="4D482ACB" w14:textId="6761C26A" w:rsidR="001F354E" w:rsidRPr="001F354E" w:rsidRDefault="001F354E" w:rsidP="001F354E">
      <w:pPr>
        <w:spacing w:before="80" w:after="240" w:line="240" w:lineRule="auto"/>
      </w:pPr>
      <w:r>
        <w:rPr>
          <w:rFonts w:ascii="Arial" w:hAnsi="Arial"/>
          <w:color w:val="000000"/>
          <w:sz w:val="21"/>
        </w:rPr>
        <w:t>ENVAI is expected to shorten the path from an approved AI use case to a validated pilot from more than 12 months to approximately six months, while enabling reusable and consistently governed AI assistance across environmental processes. Users should gain faster access to relevant knowledge, more focused review of documents and data, and earlier identification of anomalies or environmental changes. Success would be demonstrated by a functioning use-case and model register by Q1 2029, an operational ENVAI platform by Q1 2030, and deployed AI assistance in existing services by Q4 2030, alongside monitored quality, user uptake and measurable process benefits</w:t>
      </w:r>
      <w:r w:rsidR="00DC5801">
        <w:rPr>
          <w:rFonts w:ascii="Arial" w:hAnsi="Arial"/>
          <w:color w:val="000000"/>
          <w:sz w:val="21"/>
        </w:rPr>
        <w:t>, based on available resources</w:t>
      </w:r>
      <w:r>
        <w:rPr>
          <w:rFonts w:ascii="Arial" w:hAnsi="Arial"/>
          <w:color w:val="000000"/>
          <w:sz w:val="21"/>
        </w:rPr>
        <w:t>.</w:t>
      </w:r>
    </w:p>
    <w:p w14:paraId="649E81BD" w14:textId="77777777" w:rsidR="001F354E" w:rsidRPr="001F354E" w:rsidRDefault="001F354E" w:rsidP="001F354E">
      <w:pPr>
        <w:keepNext/>
        <w:rPr>
          <w:b/>
          <w:bCs/>
        </w:rPr>
      </w:pPr>
      <w:r w:rsidRPr="001F354E">
        <w:rPr>
          <w:b/>
          <w:bCs/>
        </w:rPr>
        <w:t>6. Contribution to the environment and digital agenda</w:t>
      </w:r>
    </w:p>
    <w:p w14:paraId="2FE42141" w14:textId="77777777" w:rsidR="001F354E" w:rsidRPr="001F354E" w:rsidRDefault="001F354E" w:rsidP="001F354E">
      <w:pPr>
        <w:spacing w:before="80" w:after="240" w:line="240" w:lineRule="auto"/>
      </w:pPr>
      <w:r>
        <w:rPr>
          <w:rFonts w:ascii="Arial" w:hAnsi="Arial"/>
          <w:color w:val="000000"/>
          <w:sz w:val="21"/>
        </w:rPr>
        <w:t>ENVAI supports the environmental agenda by improving access to environmental knowledge and strengthening the timeliness and quality of evidence used for monitoring, assessment, permitting and policy implementation. Its analytical capabilities can help identify anomalies in measurements and spatial data, summarise complex environmental documentation and detect changes such as land-cover change or potential illegal dumping for expert follow-up. It supports the digital agenda through responsible automation, reusable AI services, stronger data governance and integration of existing services through secure, documented interfaces. A common register, MLOps environment, monitoring and human-oversight framework will build institutional AI capability while supporting transparent, scalable and trustworthy use of AI.</w:t>
      </w:r>
    </w:p>
    <w:p w14:paraId="5DDC7C2D" w14:textId="77777777" w:rsidR="001F354E" w:rsidRPr="001F354E" w:rsidRDefault="001F354E" w:rsidP="001F354E">
      <w:pPr>
        <w:keepNext/>
        <w:rPr>
          <w:b/>
          <w:bCs/>
        </w:rPr>
      </w:pPr>
      <w:r w:rsidRPr="001F354E">
        <w:rPr>
          <w:b/>
          <w:bCs/>
        </w:rPr>
        <w:t>7. Key conditions and considerations</w:t>
      </w:r>
    </w:p>
    <w:p w14:paraId="6E94A1B6" w14:textId="77777777" w:rsidR="006D23FF" w:rsidRDefault="006D23FF">
      <w:pPr>
        <w:keepLines/>
        <w:numPr>
          <w:ilvl w:val="0"/>
          <w:numId w:val="8"/>
        </w:numPr>
        <w:spacing w:before="20" w:after="80" w:line="240" w:lineRule="auto"/>
      </w:pPr>
      <w:r>
        <w:rPr>
          <w:rFonts w:ascii="Arial" w:hAnsi="Arial"/>
          <w:color w:val="000000"/>
          <w:sz w:val="21"/>
        </w:rPr>
        <w:t>Data must be suitable, representative, legally accessible and traceable; ownership, quality responsibilities and provenance for training and reference datasets must be defined.</w:t>
      </w:r>
    </w:p>
    <w:p w14:paraId="570CBB60" w14:textId="1F0D437A" w:rsidR="009A180B" w:rsidRDefault="00000000">
      <w:pPr>
        <w:keepLines/>
        <w:numPr>
          <w:ilvl w:val="0"/>
          <w:numId w:val="8"/>
        </w:numPr>
        <w:spacing w:before="20" w:after="80" w:line="240" w:lineRule="auto"/>
      </w:pPr>
      <w:r>
        <w:rPr>
          <w:rFonts w:ascii="Arial" w:hAnsi="Arial"/>
          <w:color w:val="000000"/>
          <w:sz w:val="21"/>
        </w:rPr>
        <w:t xml:space="preserve">Each use case must be assessed and documented under </w:t>
      </w:r>
      <w:r w:rsidR="00DC5801">
        <w:rPr>
          <w:rFonts w:ascii="Arial" w:hAnsi="Arial"/>
          <w:color w:val="000000"/>
          <w:sz w:val="21"/>
        </w:rPr>
        <w:t>relevant EU policy framework (</w:t>
      </w:r>
      <w:proofErr w:type="spellStart"/>
      <w:r w:rsidR="00DC5801">
        <w:rPr>
          <w:rFonts w:ascii="Arial" w:hAnsi="Arial"/>
          <w:color w:val="000000"/>
          <w:sz w:val="21"/>
        </w:rPr>
        <w:t>e.</w:t>
      </w:r>
      <w:proofErr w:type="gramStart"/>
      <w:r w:rsidR="00DC5801">
        <w:rPr>
          <w:rFonts w:ascii="Arial" w:hAnsi="Arial"/>
          <w:color w:val="000000"/>
          <w:sz w:val="21"/>
        </w:rPr>
        <w:t>g.</w:t>
      </w:r>
      <w:r>
        <w:rPr>
          <w:rFonts w:ascii="Arial" w:hAnsi="Arial"/>
          <w:color w:val="000000"/>
          <w:sz w:val="21"/>
        </w:rPr>
        <w:t>Regulation</w:t>
      </w:r>
      <w:proofErr w:type="spellEnd"/>
      <w:proofErr w:type="gramEnd"/>
      <w:r>
        <w:rPr>
          <w:rFonts w:ascii="Arial" w:hAnsi="Arial"/>
          <w:color w:val="000000"/>
          <w:sz w:val="21"/>
        </w:rPr>
        <w:t xml:space="preserve"> (EU) 2024/1689, GDPR</w:t>
      </w:r>
      <w:r w:rsidR="00DC5801">
        <w:rPr>
          <w:rFonts w:ascii="Arial" w:hAnsi="Arial"/>
          <w:color w:val="000000"/>
          <w:sz w:val="21"/>
        </w:rPr>
        <w:t>)</w:t>
      </w:r>
      <w:r>
        <w:rPr>
          <w:rFonts w:ascii="Arial" w:hAnsi="Arial"/>
          <w:color w:val="000000"/>
          <w:sz w:val="21"/>
        </w:rPr>
        <w:t xml:space="preserve">, Slovak </w:t>
      </w:r>
      <w:r w:rsidR="00DC5801">
        <w:rPr>
          <w:rFonts w:ascii="Arial" w:hAnsi="Arial"/>
          <w:color w:val="000000"/>
          <w:sz w:val="21"/>
        </w:rPr>
        <w:t>ICT</w:t>
      </w:r>
      <w:r>
        <w:rPr>
          <w:rFonts w:ascii="Arial" w:hAnsi="Arial"/>
          <w:color w:val="000000"/>
          <w:sz w:val="21"/>
        </w:rPr>
        <w:t xml:space="preserve"> and cybersecurity requirements, including its risk classification and purpose limitations.</w:t>
      </w:r>
    </w:p>
    <w:p w14:paraId="1E7D403F" w14:textId="77777777" w:rsidR="009A180B" w:rsidRDefault="00000000">
      <w:pPr>
        <w:keepLines/>
        <w:numPr>
          <w:ilvl w:val="0"/>
          <w:numId w:val="8"/>
        </w:numPr>
        <w:spacing w:before="20" w:after="80" w:line="240" w:lineRule="auto"/>
      </w:pPr>
      <w:r>
        <w:rPr>
          <w:rFonts w:ascii="Arial" w:hAnsi="Arial"/>
          <w:color w:val="000000"/>
          <w:sz w:val="21"/>
        </w:rPr>
        <w:t>Sensitive information must remain in controlled sectoral or private government-cloud environments, supported by access control, anonymisation or pseudonymisation, environment separation, logging and audit records.</w:t>
      </w:r>
    </w:p>
    <w:p w14:paraId="461679B8" w14:textId="77777777" w:rsidR="009A180B" w:rsidRDefault="00000000">
      <w:pPr>
        <w:keepLines/>
        <w:numPr>
          <w:ilvl w:val="0"/>
          <w:numId w:val="8"/>
        </w:numPr>
        <w:spacing w:before="20" w:after="80" w:line="240" w:lineRule="auto"/>
      </w:pPr>
      <w:r>
        <w:rPr>
          <w:rFonts w:ascii="Arial" w:hAnsi="Arial"/>
          <w:color w:val="000000"/>
          <w:sz w:val="21"/>
        </w:rPr>
        <w:t>Outputs must be sufficiently transparent for expert validation. Human oversight and responsibility for administrative, enforcement and policy decisions must remain explicit, with a practical fallback to non-AI workflows.</w:t>
      </w:r>
    </w:p>
    <w:p w14:paraId="67485099" w14:textId="776EC98C" w:rsidR="009A180B" w:rsidRDefault="00000000">
      <w:pPr>
        <w:keepLines/>
        <w:numPr>
          <w:ilvl w:val="0"/>
          <w:numId w:val="8"/>
        </w:numPr>
        <w:spacing w:before="20" w:after="80" w:line="240" w:lineRule="auto"/>
      </w:pPr>
      <w:r>
        <w:rPr>
          <w:rFonts w:ascii="Arial" w:hAnsi="Arial"/>
          <w:color w:val="000000"/>
          <w:sz w:val="21"/>
        </w:rPr>
        <w:t xml:space="preserve">The platform depends on integration with </w:t>
      </w:r>
      <w:r w:rsidR="00DC5801">
        <w:rPr>
          <w:rFonts w:ascii="Arial" w:hAnsi="Arial"/>
          <w:color w:val="000000"/>
          <w:sz w:val="21"/>
        </w:rPr>
        <w:t>existing and foreseen integration systems</w:t>
      </w:r>
      <w:r>
        <w:rPr>
          <w:rFonts w:ascii="Arial" w:hAnsi="Arial"/>
          <w:color w:val="000000"/>
          <w:sz w:val="21"/>
        </w:rPr>
        <w:t>, source information systems, the sectoral data catalogue, ITSM and REST/OpenAPI interfaces, as well as scalable compute, storage and model monitoring.</w:t>
      </w:r>
    </w:p>
    <w:p w14:paraId="5C48E5BB" w14:textId="77777777" w:rsidR="009A180B" w:rsidRDefault="00000000">
      <w:pPr>
        <w:keepLines/>
        <w:numPr>
          <w:ilvl w:val="0"/>
          <w:numId w:val="8"/>
        </w:numPr>
        <w:spacing w:before="20" w:after="80" w:line="240" w:lineRule="auto"/>
      </w:pPr>
      <w:r>
        <w:rPr>
          <w:rFonts w:ascii="Arial" w:hAnsi="Arial"/>
          <w:color w:val="000000"/>
          <w:sz w:val="21"/>
        </w:rPr>
        <w:t>MŽP SR and participating organisations need sustained internal capacity in data governance, environmental expertise, AI risk management, model evaluation, MLOps, security and procurement, supported where necessary by external specialists.</w:t>
      </w:r>
    </w:p>
    <w:p w14:paraId="73A22334" w14:textId="77777777" w:rsidR="009A180B" w:rsidRDefault="00000000">
      <w:pPr>
        <w:keepLines/>
        <w:numPr>
          <w:ilvl w:val="0"/>
          <w:numId w:val="8"/>
        </w:numPr>
        <w:spacing w:before="20" w:after="80" w:line="240" w:lineRule="auto"/>
      </w:pPr>
      <w:r>
        <w:rPr>
          <w:rFonts w:ascii="Arial" w:hAnsi="Arial"/>
          <w:color w:val="000000"/>
          <w:sz w:val="21"/>
        </w:rPr>
        <w:t>Pilots should define measurable baselines for accuracy, false positives, processing time, expert effort, user satisfaction and environmental or service benefit; models should be monitored for performance degradation and drift.</w:t>
      </w:r>
    </w:p>
    <w:p w14:paraId="2E2D6DCA" w14:textId="77777777" w:rsidR="009A180B" w:rsidRDefault="00000000">
      <w:pPr>
        <w:keepLines/>
        <w:numPr>
          <w:ilvl w:val="0"/>
          <w:numId w:val="8"/>
        </w:numPr>
        <w:spacing w:before="20" w:after="240" w:line="240" w:lineRule="auto"/>
      </w:pPr>
      <w:r>
        <w:rPr>
          <w:rFonts w:ascii="Arial" w:hAnsi="Arial"/>
          <w:color w:val="000000"/>
          <w:sz w:val="21"/>
        </w:rPr>
        <w:t>Reuse should be designed into shared components and governance, while compute demand and energy use should be measured and proportionate to the expected environmental and public-service benefit.</w:t>
      </w:r>
    </w:p>
    <w:sectPr w:rsidR="009A180B">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09E9" w14:textId="77777777" w:rsidR="00590448" w:rsidRDefault="00590448" w:rsidP="00DC5801">
      <w:pPr>
        <w:spacing w:after="0" w:line="240" w:lineRule="auto"/>
      </w:pPr>
      <w:r>
        <w:separator/>
      </w:r>
    </w:p>
  </w:endnote>
  <w:endnote w:type="continuationSeparator" w:id="0">
    <w:p w14:paraId="4163C181" w14:textId="77777777" w:rsidR="00590448" w:rsidRDefault="00590448" w:rsidP="00DC5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83117"/>
      <w:docPartObj>
        <w:docPartGallery w:val="Page Numbers (Bottom of Page)"/>
        <w:docPartUnique/>
      </w:docPartObj>
    </w:sdtPr>
    <w:sdtEndPr>
      <w:rPr>
        <w:noProof/>
      </w:rPr>
    </w:sdtEndPr>
    <w:sdtContent>
      <w:p w14:paraId="1A8ABDBF" w14:textId="01177DB8" w:rsidR="00DC5801" w:rsidRDefault="00DC58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4DDB30" w14:textId="77777777" w:rsidR="00DC5801" w:rsidRDefault="00DC5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6E7F" w14:textId="77777777" w:rsidR="00590448" w:rsidRDefault="00590448" w:rsidP="00DC5801">
      <w:pPr>
        <w:spacing w:after="0" w:line="240" w:lineRule="auto"/>
      </w:pPr>
      <w:r>
        <w:separator/>
      </w:r>
    </w:p>
  </w:footnote>
  <w:footnote w:type="continuationSeparator" w:id="0">
    <w:p w14:paraId="6C3AD176" w14:textId="77777777" w:rsidR="00590448" w:rsidRDefault="00590448" w:rsidP="00DC5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6"/>
  </w:num>
  <w:num w:numId="2" w16cid:durableId="1245992449">
    <w:abstractNumId w:val="1"/>
  </w:num>
  <w:num w:numId="3" w16cid:durableId="1067532767">
    <w:abstractNumId w:val="4"/>
  </w:num>
  <w:num w:numId="4" w16cid:durableId="1036537881">
    <w:abstractNumId w:val="5"/>
  </w:num>
  <w:num w:numId="5" w16cid:durableId="1203714998">
    <w:abstractNumId w:val="3"/>
  </w:num>
  <w:num w:numId="6" w16cid:durableId="1087338183">
    <w:abstractNumId w:val="0"/>
  </w:num>
  <w:num w:numId="7" w16cid:durableId="1932275384">
    <w:abstractNumId w:val="7"/>
  </w:num>
  <w:num w:numId="8" w16cid:durableId="273482638">
    <w:abstractNumId w:val="2"/>
  </w:num>
  <w:num w:numId="9" w16cid:durableId="1827941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107550"/>
    <w:rsid w:val="001F354E"/>
    <w:rsid w:val="00280834"/>
    <w:rsid w:val="003623CE"/>
    <w:rsid w:val="005849EE"/>
    <w:rsid w:val="00590448"/>
    <w:rsid w:val="006D0842"/>
    <w:rsid w:val="006D23FF"/>
    <w:rsid w:val="00873099"/>
    <w:rsid w:val="009A180B"/>
    <w:rsid w:val="00DC5801"/>
    <w:rsid w:val="00E307B0"/>
    <w:rsid w:val="00EC6320"/>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3CA0"/>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54E"/>
    <w:rPr>
      <w:rFonts w:eastAsiaTheme="majorEastAsia" w:cstheme="majorBidi"/>
      <w:color w:val="272727" w:themeColor="text1" w:themeTint="D8"/>
    </w:rPr>
  </w:style>
  <w:style w:type="paragraph" w:styleId="Title">
    <w:name w:val="Title"/>
    <w:basedOn w:val="Normal"/>
    <w:next w:val="Normal"/>
    <w:link w:val="TitleChar"/>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54E"/>
    <w:pPr>
      <w:spacing w:before="160"/>
      <w:jc w:val="center"/>
    </w:pPr>
    <w:rPr>
      <w:i/>
      <w:iCs/>
      <w:color w:val="404040" w:themeColor="text1" w:themeTint="BF"/>
    </w:rPr>
  </w:style>
  <w:style w:type="character" w:customStyle="1" w:styleId="QuoteChar">
    <w:name w:val="Quote Char"/>
    <w:basedOn w:val="DefaultParagraphFont"/>
    <w:link w:val="Quote"/>
    <w:uiPriority w:val="29"/>
    <w:rsid w:val="001F354E"/>
    <w:rPr>
      <w:i/>
      <w:iCs/>
      <w:color w:val="404040" w:themeColor="text1" w:themeTint="BF"/>
    </w:rPr>
  </w:style>
  <w:style w:type="paragraph" w:styleId="ListParagraph">
    <w:name w:val="List Paragraph"/>
    <w:basedOn w:val="Normal"/>
    <w:uiPriority w:val="34"/>
    <w:qFormat/>
    <w:rsid w:val="001F354E"/>
    <w:pPr>
      <w:ind w:left="720"/>
      <w:contextualSpacing/>
    </w:pPr>
  </w:style>
  <w:style w:type="character" w:styleId="IntenseEmphasis">
    <w:name w:val="Intense Emphasis"/>
    <w:basedOn w:val="DefaultParagraphFont"/>
    <w:uiPriority w:val="21"/>
    <w:qFormat/>
    <w:rsid w:val="001F354E"/>
    <w:rPr>
      <w:i/>
      <w:iCs/>
      <w:color w:val="0F4761" w:themeColor="accent1" w:themeShade="BF"/>
    </w:rPr>
  </w:style>
  <w:style w:type="paragraph" w:styleId="IntenseQuote">
    <w:name w:val="Intense Quote"/>
    <w:basedOn w:val="Normal"/>
    <w:next w:val="Normal"/>
    <w:link w:val="IntenseQuoteChar"/>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54E"/>
    <w:rPr>
      <w:i/>
      <w:iCs/>
      <w:color w:val="0F4761" w:themeColor="accent1" w:themeShade="BF"/>
    </w:rPr>
  </w:style>
  <w:style w:type="character" w:styleId="IntenseReference">
    <w:name w:val="Intense Reference"/>
    <w:basedOn w:val="DefaultParagraphFont"/>
    <w:uiPriority w:val="32"/>
    <w:qFormat/>
    <w:rsid w:val="001F354E"/>
    <w:rPr>
      <w:b/>
      <w:bCs/>
      <w:smallCaps/>
      <w:color w:val="0F4761" w:themeColor="accent1" w:themeShade="BF"/>
      <w:spacing w:val="5"/>
    </w:rPr>
  </w:style>
  <w:style w:type="character" w:styleId="Hyperlink">
    <w:name w:val="Hyperlink"/>
    <w:basedOn w:val="DefaultParagraphFont"/>
    <w:uiPriority w:val="99"/>
    <w:unhideWhenUsed/>
    <w:rsid w:val="001F354E"/>
    <w:rPr>
      <w:color w:val="467886" w:themeColor="hyperlink"/>
      <w:u w:val="single"/>
    </w:rPr>
  </w:style>
  <w:style w:type="character" w:styleId="UnresolvedMention">
    <w:name w:val="Unresolved Mention"/>
    <w:basedOn w:val="DefaultParagraphFont"/>
    <w:uiPriority w:val="99"/>
    <w:semiHidden/>
    <w:unhideWhenUsed/>
    <w:rsid w:val="001F354E"/>
    <w:rPr>
      <w:color w:val="605E5C"/>
      <w:shd w:val="clear" w:color="auto" w:fill="E1DFDD"/>
    </w:rPr>
  </w:style>
  <w:style w:type="paragraph" w:styleId="Header">
    <w:name w:val="header"/>
    <w:basedOn w:val="Normal"/>
    <w:link w:val="HeaderChar"/>
    <w:uiPriority w:val="99"/>
    <w:unhideWhenUsed/>
    <w:rsid w:val="00DC580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5801"/>
  </w:style>
  <w:style w:type="paragraph" w:styleId="Footer">
    <w:name w:val="footer"/>
    <w:basedOn w:val="Normal"/>
    <w:link w:val="FooterChar"/>
    <w:uiPriority w:val="99"/>
    <w:unhideWhenUsed/>
    <w:rsid w:val="00DC580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5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EIONET-1333827832-65126</_dlc_DocId>
    <_dlc_DocIdUrl xmlns="0f6cf646-3f47-4639-ab1a-910193be0788">
      <Url>https://eea1.sharepoint.com/teams/-EXT-Eionet/_layouts/15/DocIdRedir.aspx?ID=EIONET-1333827832-65126</Url>
      <Description>EIONET-1333827832-65126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F4923955-EC68-44F6-A0A0-2C6118E13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cf646-3f47-4639-ab1a-910193be0788"/>
    <ds:schemaRef ds:uri="ce9c421d-e5c4-4d07-9374-0aa16904a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DFDE1D-7FC8-48D3-B979-D4296F71A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968</Words>
  <Characters>5519</Characters>
  <Application>Microsoft Office Word</Application>
  <DocSecurity>0</DocSecurity>
  <Lines>45</Lines>
  <Paragraphs>12</Paragraphs>
  <ScaleCrop>false</ScaleCrop>
  <Company>European Environment Agency</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Tuchyňa Martin</cp:lastModifiedBy>
  <cp:revision>4</cp:revision>
  <dcterms:created xsi:type="dcterms:W3CDTF">2026-09-11T13:58:00Z</dcterms:created>
  <dcterms:modified xsi:type="dcterms:W3CDTF">2026-09-11T14:08:00Z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e73d6d5a-728b-47d9-9b25-b00c7260b190</vt:lpwstr>
  </property>
  <property fmtid="{D5CDD505-2E9C-101B-9397-08002B2CF9AE}" pid="12" name="MediaServiceImageTags">
    <vt:lpwstr/>
  </property>
  <property fmtid="{D5CDD505-2E9C-101B-9397-08002B2CF9AE}" pid="14" name="docLang">
    <vt:lpwstr>en</vt:lpwstr>
  </property>
</Properties>
</file>