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02578" w14:textId="54DB342C" w:rsidR="001F354E" w:rsidRPr="001F354E" w:rsidRDefault="00566852" w:rsidP="001F354E">
      <w:pPr>
        <w:rPr>
          <w:b/>
          <w:bCs/>
        </w:rPr>
      </w:pPr>
      <w:r>
        <w:rPr>
          <w:b/>
          <w:bCs/>
        </w:rPr>
        <w:t xml:space="preserve">AI use case: </w:t>
      </w:r>
      <w:r w:rsidR="007541B6" w:rsidRPr="007541B6">
        <w:rPr>
          <w:b/>
          <w:bCs/>
        </w:rPr>
        <w:t>Shared µHPC infrastructure for environmental research and AI</w:t>
      </w:r>
    </w:p>
    <w:p w14:paraId="7F9A1BCC" w14:textId="77777777" w:rsidR="001F354E" w:rsidRPr="001F354E" w:rsidRDefault="001F354E" w:rsidP="001F354E">
      <w:pPr>
        <w:rPr>
          <w:b/>
          <w:bCs/>
        </w:rPr>
      </w:pPr>
      <w:r w:rsidRPr="001F354E">
        <w:rPr>
          <w:b/>
          <w:bCs/>
        </w:rPr>
        <w:t>1. Main area</w:t>
      </w:r>
    </w:p>
    <w:p w14:paraId="56294B95" w14:textId="77777777" w:rsidR="001F354E" w:rsidRPr="001F354E" w:rsidRDefault="001F354E" w:rsidP="001F354E">
      <w:r w:rsidRPr="001F354E">
        <w:t>Select the area to which the use case primarily belongs:</w:t>
      </w:r>
    </w:p>
    <w:p w14:paraId="09457151" w14:textId="77777777" w:rsidR="001F354E" w:rsidRPr="001F354E" w:rsidRDefault="001F354E" w:rsidP="00B0740B">
      <w:pPr>
        <w:ind w:firstLine="720"/>
      </w:pPr>
      <w:r w:rsidRPr="001F354E">
        <w:t xml:space="preserve">☐ </w:t>
      </w:r>
      <w:r w:rsidRPr="001F354E">
        <w:rPr>
          <w:b/>
          <w:bCs/>
        </w:rPr>
        <w:t>Strategy, Governance and Organisation</w:t>
      </w:r>
    </w:p>
    <w:p w14:paraId="4818F044" w14:textId="77777777" w:rsidR="001F354E" w:rsidRPr="001F354E" w:rsidRDefault="001F354E" w:rsidP="00B0740B">
      <w:pPr>
        <w:ind w:firstLine="720"/>
      </w:pPr>
      <w:r w:rsidRPr="001F354E">
        <w:t xml:space="preserve">☐ </w:t>
      </w:r>
      <w:r w:rsidRPr="001F354E">
        <w:rPr>
          <w:b/>
          <w:bCs/>
        </w:rPr>
        <w:t>People, Skills and Ways of Working</w:t>
      </w:r>
    </w:p>
    <w:p w14:paraId="7FC6313F" w14:textId="6460AC13" w:rsidR="001F354E" w:rsidRPr="001F354E" w:rsidRDefault="0057500A" w:rsidP="00B0740B">
      <w:pPr>
        <w:ind w:firstLine="720"/>
      </w:pPr>
      <w:r>
        <w:rPr>
          <w:rFonts w:ascii="Courier New" w:hAnsi="Courier New" w:cs="Courier New"/>
        </w:rPr>
        <w:t>■</w:t>
      </w:r>
      <w:r w:rsidR="001F354E" w:rsidRPr="001F354E">
        <w:t xml:space="preserve"> </w:t>
      </w:r>
      <w:r w:rsidR="001F354E" w:rsidRPr="001F354E">
        <w:rPr>
          <w:b/>
          <w:bCs/>
        </w:rPr>
        <w:t>Data, Technologies and Infrastructure</w:t>
      </w:r>
    </w:p>
    <w:p w14:paraId="715C4834" w14:textId="6C9CED5E" w:rsidR="001F354E" w:rsidRDefault="0057500A" w:rsidP="00B0740B">
      <w:pPr>
        <w:ind w:firstLine="720"/>
        <w:rPr>
          <w:b/>
          <w:bCs/>
        </w:rPr>
      </w:pPr>
      <w:r w:rsidRPr="001F354E">
        <w:t>☐</w:t>
      </w:r>
      <w:r w:rsidR="001F354E" w:rsidRPr="001F354E">
        <w:t xml:space="preserve"> </w:t>
      </w:r>
      <w:r w:rsidR="001F354E" w:rsidRPr="001F354E">
        <w:rPr>
          <w:b/>
          <w:bCs/>
        </w:rPr>
        <w:t>AI Applications and Value Creation</w:t>
      </w:r>
    </w:p>
    <w:p w14:paraId="29ACB1AE" w14:textId="783B4C95" w:rsidR="007541B6" w:rsidRPr="007541B6" w:rsidRDefault="007541B6" w:rsidP="007541B6">
      <w:pPr>
        <w:rPr>
          <w:lang w:val="en-US"/>
        </w:rPr>
      </w:pPr>
      <w:r w:rsidRPr="007541B6">
        <w:rPr>
          <w:lang w:val="en-US"/>
        </w:rPr>
        <w:t>Secondary: People, Skills and Ways of Working — rollout is built around a community of practice.</w:t>
      </w:r>
    </w:p>
    <w:p w14:paraId="5E68DEFD" w14:textId="77777777" w:rsidR="001F354E" w:rsidRPr="001F354E" w:rsidRDefault="0057500A" w:rsidP="001F354E">
      <w:r>
        <w:pict w14:anchorId="7496DE2A">
          <v:rect id="_x0000_i1025" style="width:0;height:1.5pt" o:hralign="center" o:hrstd="t" o:hr="t" fillcolor="#a0a0a0" stroked="f"/>
        </w:pict>
      </w:r>
    </w:p>
    <w:p w14:paraId="783F6926" w14:textId="77777777" w:rsidR="001F354E" w:rsidRPr="001F354E" w:rsidRDefault="001F354E" w:rsidP="001F354E">
      <w:pPr>
        <w:rPr>
          <w:b/>
          <w:bCs/>
        </w:rPr>
      </w:pPr>
      <w:r w:rsidRPr="001F354E">
        <w:rPr>
          <w:b/>
          <w:bCs/>
        </w:rPr>
        <w:t>2. Challenge or opportunity</w:t>
      </w:r>
    </w:p>
    <w:p w14:paraId="7AED2AC6" w14:textId="11748F08" w:rsidR="0040199A" w:rsidRPr="00D069F0" w:rsidRDefault="007541B6" w:rsidP="001F354E">
      <w:r w:rsidRPr="007541B6">
        <w:t>Work across the German environment portfolio is highly data-intensive (remote sensing, bio- and chemoinformatics, modelling, language models), but no compute infrastructure for scientific and AI workloads was centrally available. Research groups depended on external systems, which kept workflows non-reusable and methodological competence outside the administration.</w:t>
      </w:r>
    </w:p>
    <w:p w14:paraId="6125EE22" w14:textId="77777777" w:rsidR="001F354E" w:rsidRPr="001F354E" w:rsidRDefault="0057500A" w:rsidP="001F354E">
      <w:r>
        <w:pict w14:anchorId="5AD5E34C">
          <v:rect id="_x0000_i1026" style="width:0;height:1.5pt" o:hralign="center" o:hrstd="t" o:hr="t" fillcolor="#a0a0a0" stroked="f"/>
        </w:pict>
      </w:r>
    </w:p>
    <w:p w14:paraId="072D6A84" w14:textId="77777777" w:rsidR="001F354E" w:rsidRDefault="001F354E" w:rsidP="001F354E">
      <w:pPr>
        <w:rPr>
          <w:b/>
          <w:bCs/>
        </w:rPr>
      </w:pPr>
      <w:r w:rsidRPr="001F354E">
        <w:rPr>
          <w:b/>
          <w:bCs/>
        </w:rPr>
        <w:t>3. Proposed use of AI</w:t>
      </w:r>
    </w:p>
    <w:p w14:paraId="551333C4" w14:textId="5913FD7C" w:rsidR="007541B6" w:rsidRPr="007541B6" w:rsidRDefault="007541B6" w:rsidP="001F354E">
      <w:r w:rsidRPr="007541B6">
        <w:t>The AI Lab operates a µHPC system as enabling infrastructure: 4 nodes with 256 CPU cores, 8 NVIDIA H200 GPUs and 3 TB RAM each (32 GPUs in total), plus 500 TB NVMe storage. Access is browser-based via Open OnDemand (JupyterLab, RStudio, QGIS, SLURM), so no specialised client setup is needed. An internal LLM inference service based on the open-source SAIA framework (GWDG) is being added, usable inside the environment and via API.</w:t>
      </w:r>
    </w:p>
    <w:p w14:paraId="24B6E20D" w14:textId="77777777" w:rsidR="001F354E" w:rsidRPr="001F354E" w:rsidRDefault="0057500A" w:rsidP="001F354E">
      <w:r>
        <w:pict w14:anchorId="5A7DC621">
          <v:rect id="_x0000_i1027" style="width:0;height:1.5pt" o:hralign="center" o:hrstd="t" o:hr="t" fillcolor="#a0a0a0" stroked="f"/>
        </w:pict>
      </w:r>
    </w:p>
    <w:p w14:paraId="170AD88E" w14:textId="59619E09" w:rsidR="001F354E" w:rsidRPr="001F354E" w:rsidRDefault="001F354E" w:rsidP="001F354E">
      <w:pPr>
        <w:rPr>
          <w:b/>
          <w:bCs/>
        </w:rPr>
      </w:pPr>
      <w:r w:rsidRPr="001F354E">
        <w:rPr>
          <w:b/>
          <w:bCs/>
        </w:rPr>
        <w:t>4. Scope</w:t>
      </w:r>
    </w:p>
    <w:p w14:paraId="6324781D" w14:textId="46CB27CA" w:rsidR="007541B6" w:rsidRPr="007541B6" w:rsidRDefault="007541B6" w:rsidP="007541B6">
      <w:pPr>
        <w:pStyle w:val="Listenabsatz"/>
        <w:numPr>
          <w:ilvl w:val="0"/>
          <w:numId w:val="11"/>
        </w:numPr>
        <w:ind w:left="867" w:hanging="510"/>
      </w:pPr>
      <w:r w:rsidRPr="007541B6">
        <w:t>Externally hosted µHPC with five-year support, operated by the KI-Lab for the four agencies of the German environment portfolio (UBA, BfN, BfS, BASE).</w:t>
      </w:r>
    </w:p>
    <w:p w14:paraId="0920E55A" w14:textId="20D9A7E3" w:rsidR="007541B6" w:rsidRPr="007541B6" w:rsidRDefault="007541B6" w:rsidP="007541B6">
      <w:pPr>
        <w:pStyle w:val="Listenabsatz"/>
        <w:numPr>
          <w:ilvl w:val="0"/>
          <w:numId w:val="11"/>
        </w:numPr>
        <w:ind w:left="867" w:hanging="510"/>
      </w:pPr>
      <w:r w:rsidRPr="007541B6">
        <w:t>Three usage patterns: individual data science, shared group workspaces with TB-scale data pools, and application hosting with API access.</w:t>
      </w:r>
    </w:p>
    <w:p w14:paraId="4E0B67FD" w14:textId="19F9F5AB" w:rsidR="007541B6" w:rsidRPr="007541B6" w:rsidRDefault="007541B6" w:rsidP="007541B6">
      <w:pPr>
        <w:pStyle w:val="Listenabsatz"/>
        <w:numPr>
          <w:ilvl w:val="0"/>
          <w:numId w:val="11"/>
        </w:numPr>
        <w:ind w:left="867" w:hanging="510"/>
      </w:pPr>
      <w:r w:rsidRPr="007541B6">
        <w:t>Phased rollout within that portfolio: KI-Lab and early adopters → German Environment Agency → BfN, BfS, BASE; accompanied by a community of practice and how-to formats.</w:t>
      </w:r>
    </w:p>
    <w:p w14:paraId="6E0A64B4" w14:textId="4192E1D4" w:rsidR="007541B6" w:rsidRDefault="007541B6" w:rsidP="007541B6">
      <w:pPr>
        <w:pStyle w:val="Listenabsatz"/>
        <w:numPr>
          <w:ilvl w:val="0"/>
          <w:numId w:val="11"/>
        </w:numPr>
        <w:ind w:left="867" w:hanging="510"/>
      </w:pPr>
      <w:r w:rsidRPr="007541B6">
        <w:t>Out of scope: data with high protection requirements (not yet cleared), the ministry as a direct user group, replacement of existing specialist IT.</w:t>
      </w:r>
    </w:p>
    <w:p w14:paraId="4F08AFD5" w14:textId="199E6EB9" w:rsidR="001F354E" w:rsidRPr="007541B6" w:rsidRDefault="0057500A" w:rsidP="007541B6">
      <w:r>
        <w:pict w14:anchorId="2626D2EE">
          <v:rect id="_x0000_i1028" style="width:0;height:1.5pt" o:hralign="center" o:hrstd="t" o:hr="t" fillcolor="#a0a0a0" stroked="f"/>
        </w:pict>
      </w:r>
    </w:p>
    <w:p w14:paraId="1B4E6B7A" w14:textId="77777777" w:rsidR="001F354E" w:rsidRPr="001F354E" w:rsidRDefault="001F354E" w:rsidP="007541B6">
      <w:pPr>
        <w:keepNext/>
        <w:rPr>
          <w:b/>
          <w:bCs/>
        </w:rPr>
      </w:pPr>
      <w:r w:rsidRPr="001F354E">
        <w:rPr>
          <w:b/>
          <w:bCs/>
        </w:rPr>
        <w:lastRenderedPageBreak/>
        <w:t>5. Expected outcome</w:t>
      </w:r>
    </w:p>
    <w:p w14:paraId="450C5D79" w14:textId="70247D82" w:rsidR="001F354E" w:rsidRPr="001F354E" w:rsidRDefault="007541B6" w:rsidP="001F354E">
      <w:r w:rsidRPr="007541B6">
        <w:t>Researchers and analysts run data- and GPU-intensive work in-house instead of on external systems, with reusable workflows and shared documentation. Success would be shown by a stable service, a growing number of active user groups across the four agencies, documented reference use cases, and an internal LLM service used by other applications.</w:t>
      </w:r>
      <w:r w:rsidR="0057500A">
        <w:pict w14:anchorId="3A76C05D">
          <v:rect id="_x0000_i1029" style="width:0;height:1.5pt" o:hralign="center" o:hrstd="t" o:hr="t" fillcolor="#a0a0a0" stroked="f"/>
        </w:pict>
      </w:r>
    </w:p>
    <w:p w14:paraId="066AC121" w14:textId="77777777" w:rsidR="001F354E" w:rsidRPr="001F354E" w:rsidRDefault="001F354E" w:rsidP="001F354E">
      <w:pPr>
        <w:rPr>
          <w:b/>
          <w:bCs/>
        </w:rPr>
      </w:pPr>
      <w:r w:rsidRPr="001F354E">
        <w:rPr>
          <w:b/>
          <w:bCs/>
        </w:rPr>
        <w:t>6. Contribution to the environment and digital agenda</w:t>
      </w:r>
    </w:p>
    <w:p w14:paraId="67AD6867" w14:textId="77777777" w:rsidR="001F354E" w:rsidRPr="001F354E" w:rsidRDefault="001F354E" w:rsidP="001F354E">
      <w:pPr>
        <w:rPr>
          <w:b/>
          <w:bCs/>
        </w:rPr>
      </w:pPr>
      <w:r w:rsidRPr="001F354E">
        <w:rPr>
          <w:b/>
          <w:bCs/>
        </w:rPr>
        <w:t>Environmental contribution</w:t>
      </w:r>
    </w:p>
    <w:p w14:paraId="5A0ED18D" w14:textId="38FFE32F" w:rsidR="00EC6320" w:rsidRPr="007541B6" w:rsidRDefault="007541B6" w:rsidP="001F354E">
      <w:r w:rsidRPr="007541B6">
        <w:t>The system strengthens the evidence base for environmental monitoring and policy advice by making large-scale geodata processing, modelling and in-silico methods available in-house</w:t>
      </w:r>
    </w:p>
    <w:p w14:paraId="464F973D" w14:textId="2E60FE76" w:rsidR="001F354E" w:rsidRDefault="001F354E" w:rsidP="001F354E">
      <w:pPr>
        <w:rPr>
          <w:b/>
          <w:bCs/>
        </w:rPr>
      </w:pPr>
      <w:r w:rsidRPr="001F354E">
        <w:rPr>
          <w:b/>
          <w:bCs/>
        </w:rPr>
        <w:t>Digital contribution</w:t>
      </w:r>
    </w:p>
    <w:p w14:paraId="6C57C1F9" w14:textId="07826CBC" w:rsidR="007541B6" w:rsidRPr="007541B6" w:rsidRDefault="007541B6" w:rsidP="001F354E">
      <w:r w:rsidRPr="007541B6">
        <w:t>It supports the digital agenda through secure, reusable infrastructure and by building AI capabilities inside the administration rather than buying them in. Energy measurement and sustainable data centre operation are part of the design, making the footprint of AI use measurable.</w:t>
      </w:r>
    </w:p>
    <w:p w14:paraId="19A2A49E" w14:textId="77777777" w:rsidR="001F354E" w:rsidRPr="001F354E" w:rsidRDefault="0057500A" w:rsidP="001F354E">
      <w:r>
        <w:pict w14:anchorId="78BE89B2">
          <v:rect id="_x0000_i1030" style="width:0;height:1.5pt" o:hralign="center" o:hrstd="t" o:hr="t" fillcolor="#a0a0a0" stroked="f"/>
        </w:pict>
      </w:r>
    </w:p>
    <w:p w14:paraId="0F9210FA" w14:textId="77777777" w:rsidR="001F354E" w:rsidRPr="001F354E" w:rsidRDefault="001F354E" w:rsidP="001F354E">
      <w:pPr>
        <w:rPr>
          <w:b/>
          <w:bCs/>
        </w:rPr>
      </w:pPr>
      <w:r w:rsidRPr="001F354E">
        <w:rPr>
          <w:b/>
          <w:bCs/>
        </w:rPr>
        <w:t>7. Key conditions and considerations</w:t>
      </w:r>
    </w:p>
    <w:p w14:paraId="30A54DB2" w14:textId="3418A7CC" w:rsidR="007541B6" w:rsidRPr="007541B6" w:rsidRDefault="007541B6" w:rsidP="007541B6">
      <w:pPr>
        <w:pStyle w:val="Listenabsatz"/>
        <w:numPr>
          <w:ilvl w:val="0"/>
          <w:numId w:val="11"/>
        </w:numPr>
        <w:ind w:left="811" w:hanging="454"/>
      </w:pPr>
      <w:r w:rsidRPr="007541B6">
        <w:t>Identity and access: use requires an account in the German portfolio identity management (currently a lab-internal IDM, Authentik); connection to the agency identity system and a portfolio-wide SSO (Keycloak) is open and a precondition for phase 3.</w:t>
      </w:r>
    </w:p>
    <w:p w14:paraId="50A27DAB" w14:textId="09A1036B" w:rsidR="007541B6" w:rsidRPr="007541B6" w:rsidRDefault="007541B6" w:rsidP="007541B6">
      <w:pPr>
        <w:pStyle w:val="Listenabsatz"/>
        <w:numPr>
          <w:ilvl w:val="0"/>
          <w:numId w:val="11"/>
        </w:numPr>
        <w:ind w:left="811" w:hanging="454"/>
      </w:pPr>
      <w:r w:rsidRPr="007541B6">
        <w:t>Data protection: protection level of processed data to be defined; specially protected data not yet cleared.</w:t>
      </w:r>
    </w:p>
    <w:p w14:paraId="04BBDCB5" w14:textId="14B9E567" w:rsidR="007541B6" w:rsidRPr="007541B6" w:rsidRDefault="007541B6" w:rsidP="007541B6">
      <w:pPr>
        <w:pStyle w:val="Listenabsatz"/>
        <w:numPr>
          <w:ilvl w:val="0"/>
          <w:numId w:val="11"/>
        </w:numPr>
        <w:ind w:left="811" w:hanging="454"/>
      </w:pPr>
      <w:r w:rsidRPr="007541B6">
        <w:t>Skills and support: uptake depends on enablement formats and on support capacity held by a small team.</w:t>
      </w:r>
    </w:p>
    <w:p w14:paraId="360EC3CD" w14:textId="425BE0EB" w:rsidR="007541B6" w:rsidRPr="007541B6" w:rsidRDefault="007541B6" w:rsidP="007541B6">
      <w:pPr>
        <w:pStyle w:val="Listenabsatz"/>
        <w:numPr>
          <w:ilvl w:val="0"/>
          <w:numId w:val="11"/>
        </w:numPr>
        <w:ind w:left="811" w:hanging="454"/>
      </w:pPr>
      <w:r w:rsidRPr="007541B6">
        <w:t>Continuity: the KI-Lab is funded until the end of 2029; operation beyond that is unsettled.</w:t>
      </w:r>
    </w:p>
    <w:p w14:paraId="53854E2B" w14:textId="5A1EA294" w:rsidR="006D23FF" w:rsidRDefault="007541B6" w:rsidP="00216D8D">
      <w:pPr>
        <w:pStyle w:val="Listenabsatz"/>
        <w:numPr>
          <w:ilvl w:val="0"/>
          <w:numId w:val="11"/>
        </w:numPr>
        <w:ind w:left="811" w:hanging="454"/>
      </w:pPr>
      <w:r w:rsidRPr="007541B6">
        <w:t>Reuse: what is transferable across Eionet is the architecture, configuration and operating experience (Open OnDemand, SLURM, SAIA), not compute capacity.</w:t>
      </w:r>
    </w:p>
    <w:sectPr w:rsidR="006D23FF">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BD6F7" w14:textId="77777777" w:rsidR="007541B6" w:rsidRDefault="007541B6" w:rsidP="007541B6">
      <w:pPr>
        <w:spacing w:after="0" w:line="240" w:lineRule="auto"/>
      </w:pPr>
      <w:r>
        <w:separator/>
      </w:r>
    </w:p>
  </w:endnote>
  <w:endnote w:type="continuationSeparator" w:id="0">
    <w:p w14:paraId="0D88D8D0" w14:textId="77777777" w:rsidR="007541B6" w:rsidRDefault="007541B6" w:rsidP="00754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844E9" w14:textId="77777777" w:rsidR="007541B6" w:rsidRDefault="007541B6" w:rsidP="007541B6">
      <w:pPr>
        <w:spacing w:after="0" w:line="240" w:lineRule="auto"/>
      </w:pPr>
      <w:r>
        <w:separator/>
      </w:r>
    </w:p>
  </w:footnote>
  <w:footnote w:type="continuationSeparator" w:id="0">
    <w:p w14:paraId="572CDEFB" w14:textId="77777777" w:rsidR="007541B6" w:rsidRDefault="007541B6" w:rsidP="00754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DAE94" w14:textId="63EE001A" w:rsidR="007541B6" w:rsidRDefault="007541B6">
    <w:pPr>
      <w:pStyle w:val="Kopfzeile"/>
    </w:pPr>
    <w:r>
      <w:t>AI-Lab at German Federal Environment Agency</w:t>
    </w:r>
    <w:r>
      <w:tab/>
    </w:r>
    <w:r>
      <w:tab/>
      <w:t>21.09.2026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B42C8"/>
    <w:multiLevelType w:val="hybridMultilevel"/>
    <w:tmpl w:val="974225A0"/>
    <w:lvl w:ilvl="0" w:tplc="77DEF578">
      <w:numFmt w:val="bullet"/>
      <w:lvlText w:val="•"/>
      <w:lvlJc w:val="left"/>
      <w:pPr>
        <w:ind w:left="1080" w:hanging="72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BC36825"/>
    <w:multiLevelType w:val="multilevel"/>
    <w:tmpl w:val="2B8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A6336"/>
    <w:multiLevelType w:val="multilevel"/>
    <w:tmpl w:val="A24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A106F"/>
    <w:multiLevelType w:val="multilevel"/>
    <w:tmpl w:val="2DB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A717B"/>
    <w:multiLevelType w:val="multilevel"/>
    <w:tmpl w:val="8C0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53345"/>
    <w:multiLevelType w:val="multilevel"/>
    <w:tmpl w:val="1E0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752A6"/>
    <w:multiLevelType w:val="multilevel"/>
    <w:tmpl w:val="BD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30BC8"/>
    <w:multiLevelType w:val="hybridMultilevel"/>
    <w:tmpl w:val="651E96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63639FC"/>
    <w:multiLevelType w:val="hybridMultilevel"/>
    <w:tmpl w:val="7E90E098"/>
    <w:lvl w:ilvl="0" w:tplc="77DEF578">
      <w:numFmt w:val="bullet"/>
      <w:lvlText w:val="•"/>
      <w:lvlJc w:val="left"/>
      <w:pPr>
        <w:ind w:left="1080" w:hanging="72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6A15221"/>
    <w:multiLevelType w:val="multilevel"/>
    <w:tmpl w:val="FF9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BA1D8F"/>
    <w:multiLevelType w:val="multilevel"/>
    <w:tmpl w:val="3FB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4240">
    <w:abstractNumId w:val="7"/>
  </w:num>
  <w:num w:numId="2" w16cid:durableId="1245992449">
    <w:abstractNumId w:val="2"/>
  </w:num>
  <w:num w:numId="3" w16cid:durableId="1067532767">
    <w:abstractNumId w:val="5"/>
  </w:num>
  <w:num w:numId="4" w16cid:durableId="1036537881">
    <w:abstractNumId w:val="6"/>
  </w:num>
  <w:num w:numId="5" w16cid:durableId="1203714998">
    <w:abstractNumId w:val="4"/>
  </w:num>
  <w:num w:numId="6" w16cid:durableId="1087338183">
    <w:abstractNumId w:val="0"/>
  </w:num>
  <w:num w:numId="7" w16cid:durableId="1932275384">
    <w:abstractNumId w:val="10"/>
  </w:num>
  <w:num w:numId="8" w16cid:durableId="273482638">
    <w:abstractNumId w:val="3"/>
  </w:num>
  <w:num w:numId="9" w16cid:durableId="1827941632">
    <w:abstractNumId w:val="11"/>
  </w:num>
  <w:num w:numId="10" w16cid:durableId="2051756179">
    <w:abstractNumId w:val="8"/>
  </w:num>
  <w:num w:numId="11" w16cid:durableId="1131754423">
    <w:abstractNumId w:val="1"/>
  </w:num>
  <w:num w:numId="12" w16cid:durableId="1205143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016754"/>
    <w:rsid w:val="0002545C"/>
    <w:rsid w:val="000546AE"/>
    <w:rsid w:val="00062A8A"/>
    <w:rsid w:val="001030BC"/>
    <w:rsid w:val="00106AB2"/>
    <w:rsid w:val="00107550"/>
    <w:rsid w:val="001905D3"/>
    <w:rsid w:val="00196AA3"/>
    <w:rsid w:val="001F354E"/>
    <w:rsid w:val="0021288F"/>
    <w:rsid w:val="00264A44"/>
    <w:rsid w:val="00272782"/>
    <w:rsid w:val="00280834"/>
    <w:rsid w:val="00364EE3"/>
    <w:rsid w:val="003A78C4"/>
    <w:rsid w:val="0040199A"/>
    <w:rsid w:val="00512747"/>
    <w:rsid w:val="00531E25"/>
    <w:rsid w:val="005459F9"/>
    <w:rsid w:val="00566852"/>
    <w:rsid w:val="0057500A"/>
    <w:rsid w:val="005839D2"/>
    <w:rsid w:val="005C70FB"/>
    <w:rsid w:val="005F781A"/>
    <w:rsid w:val="00613D8C"/>
    <w:rsid w:val="006B44EA"/>
    <w:rsid w:val="006D23FF"/>
    <w:rsid w:val="006E46FD"/>
    <w:rsid w:val="00701CDD"/>
    <w:rsid w:val="007541B6"/>
    <w:rsid w:val="007D2886"/>
    <w:rsid w:val="007D63D9"/>
    <w:rsid w:val="00873099"/>
    <w:rsid w:val="00986370"/>
    <w:rsid w:val="009E7520"/>
    <w:rsid w:val="00A6537A"/>
    <w:rsid w:val="00A86F16"/>
    <w:rsid w:val="00B0740B"/>
    <w:rsid w:val="00B2735C"/>
    <w:rsid w:val="00C42C78"/>
    <w:rsid w:val="00C7706F"/>
    <w:rsid w:val="00CE296E"/>
    <w:rsid w:val="00D069F0"/>
    <w:rsid w:val="00D748A2"/>
    <w:rsid w:val="00D93085"/>
    <w:rsid w:val="00E06A41"/>
    <w:rsid w:val="00E307B0"/>
    <w:rsid w:val="00E46F3C"/>
    <w:rsid w:val="00EC6320"/>
    <w:rsid w:val="00EC7889"/>
    <w:rsid w:val="00F113E4"/>
    <w:rsid w:val="00F54FED"/>
    <w:rsid w:val="00F56FA7"/>
    <w:rsid w:val="00FA094D"/>
    <w:rsid w:val="00FE5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F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F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F354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F354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F354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F354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F354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F354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F354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F354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F354E"/>
    <w:rPr>
      <w:rFonts w:eastAsiaTheme="majorEastAsia" w:cstheme="majorBidi"/>
      <w:color w:val="272727" w:themeColor="text1" w:themeTint="D8"/>
    </w:rPr>
  </w:style>
  <w:style w:type="paragraph" w:styleId="Titel">
    <w:name w:val="Title"/>
    <w:basedOn w:val="Standard"/>
    <w:next w:val="Standard"/>
    <w:link w:val="TitelZchn"/>
    <w:uiPriority w:val="10"/>
    <w:qFormat/>
    <w:rsid w:val="001F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F354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F354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F35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F354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F354E"/>
    <w:rPr>
      <w:i/>
      <w:iCs/>
      <w:color w:val="404040" w:themeColor="text1" w:themeTint="BF"/>
    </w:rPr>
  </w:style>
  <w:style w:type="paragraph" w:styleId="Listenabsatz">
    <w:name w:val="List Paragraph"/>
    <w:basedOn w:val="Standard"/>
    <w:uiPriority w:val="34"/>
    <w:qFormat/>
    <w:rsid w:val="001F354E"/>
    <w:pPr>
      <w:ind w:left="720"/>
      <w:contextualSpacing/>
    </w:pPr>
  </w:style>
  <w:style w:type="character" w:styleId="IntensiveHervorhebung">
    <w:name w:val="Intense Emphasis"/>
    <w:basedOn w:val="Absatz-Standardschriftart"/>
    <w:uiPriority w:val="21"/>
    <w:qFormat/>
    <w:rsid w:val="001F354E"/>
    <w:rPr>
      <w:i/>
      <w:iCs/>
      <w:color w:val="0F4761" w:themeColor="accent1" w:themeShade="BF"/>
    </w:rPr>
  </w:style>
  <w:style w:type="paragraph" w:styleId="IntensivesZitat">
    <w:name w:val="Intense Quote"/>
    <w:basedOn w:val="Standard"/>
    <w:next w:val="Standard"/>
    <w:link w:val="IntensivesZitatZchn"/>
    <w:uiPriority w:val="30"/>
    <w:qFormat/>
    <w:rsid w:val="001F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F354E"/>
    <w:rPr>
      <w:i/>
      <w:iCs/>
      <w:color w:val="0F4761" w:themeColor="accent1" w:themeShade="BF"/>
    </w:rPr>
  </w:style>
  <w:style w:type="character" w:styleId="IntensiverVerweis">
    <w:name w:val="Intense Reference"/>
    <w:basedOn w:val="Absatz-Standardschriftart"/>
    <w:uiPriority w:val="32"/>
    <w:qFormat/>
    <w:rsid w:val="001F354E"/>
    <w:rPr>
      <w:b/>
      <w:bCs/>
      <w:smallCaps/>
      <w:color w:val="0F4761" w:themeColor="accent1" w:themeShade="BF"/>
      <w:spacing w:val="5"/>
    </w:rPr>
  </w:style>
  <w:style w:type="character" w:styleId="Hyperlink">
    <w:name w:val="Hyperlink"/>
    <w:basedOn w:val="Absatz-Standardschriftart"/>
    <w:uiPriority w:val="99"/>
    <w:unhideWhenUsed/>
    <w:rsid w:val="001F354E"/>
    <w:rPr>
      <w:color w:val="467886" w:themeColor="hyperlink"/>
      <w:u w:val="single"/>
    </w:rPr>
  </w:style>
  <w:style w:type="character" w:styleId="NichtaufgelsteErwhnung">
    <w:name w:val="Unresolved Mention"/>
    <w:basedOn w:val="Absatz-Standardschriftart"/>
    <w:uiPriority w:val="99"/>
    <w:semiHidden/>
    <w:unhideWhenUsed/>
    <w:rsid w:val="001F354E"/>
    <w:rPr>
      <w:color w:val="605E5C"/>
      <w:shd w:val="clear" w:color="auto" w:fill="E1DFDD"/>
    </w:rPr>
  </w:style>
  <w:style w:type="paragraph" w:styleId="Kopfzeile">
    <w:name w:val="header"/>
    <w:basedOn w:val="Standard"/>
    <w:link w:val="KopfzeileZchn"/>
    <w:uiPriority w:val="99"/>
    <w:unhideWhenUsed/>
    <w:rsid w:val="007541B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541B6"/>
  </w:style>
  <w:style w:type="paragraph" w:styleId="Fuzeile">
    <w:name w:val="footer"/>
    <w:basedOn w:val="Standard"/>
    <w:link w:val="FuzeileZchn"/>
    <w:uiPriority w:val="99"/>
    <w:unhideWhenUsed/>
    <w:rsid w:val="007541B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54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406288">
      <w:bodyDiv w:val="1"/>
      <w:marLeft w:val="0"/>
      <w:marRight w:val="0"/>
      <w:marTop w:val="0"/>
      <w:marBottom w:val="0"/>
      <w:divBdr>
        <w:top w:val="none" w:sz="0" w:space="0" w:color="auto"/>
        <w:left w:val="none" w:sz="0" w:space="0" w:color="auto"/>
        <w:bottom w:val="none" w:sz="0" w:space="0" w:color="auto"/>
        <w:right w:val="none" w:sz="0" w:space="0" w:color="auto"/>
      </w:divBdr>
    </w:div>
    <w:div w:id="168554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EIONET-1333827832-65227</_dlc_DocId>
    <_dlc_DocIdUrl xmlns="0f6cf646-3f47-4639-ab1a-910193be0788">
      <Url>https://eea1.sharepoint.com/teams/-EXT-Eionet/_layouts/15/DocIdRedir.aspx?ID=EIONET-1333827832-65227</Url>
      <Description>EIONET-1333827832-65227</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5EF4528-90DE-4BD5-8669-B752BF295F34}">
  <ds:schemaRefs>
    <ds:schemaRef ds:uri="http://purl.org/dc/dcmitype/"/>
    <ds:schemaRef ds:uri="http://purl.org/dc/terms/"/>
    <ds:schemaRef ds:uri="http://schemas.microsoft.com/office/2006/metadata/properties"/>
    <ds:schemaRef ds:uri="http://schemas.openxmlformats.org/package/2006/metadata/core-properties"/>
    <ds:schemaRef ds:uri="http://www.w3.org/XML/1998/namespace"/>
    <ds:schemaRef ds:uri="http://schemas.microsoft.com/office/2006/documentManagement/types"/>
    <ds:schemaRef ds:uri="http://purl.org/dc/elements/1.1/"/>
    <ds:schemaRef ds:uri="05ac9e7b-981d-4fe1-99ab-11dac8fef5bf"/>
    <ds:schemaRef ds:uri="http://schemas.microsoft.com/office/infopath/2007/PartnerControls"/>
    <ds:schemaRef ds:uri="7b175a76-765b-4d9f-a61f-953dba50e39e"/>
  </ds:schemaRefs>
</ds:datastoreItem>
</file>

<file path=customXml/itemProps2.xml><?xml version="1.0" encoding="utf-8"?>
<ds:datastoreItem xmlns:ds="http://schemas.openxmlformats.org/officeDocument/2006/customXml" ds:itemID="{988A791C-054A-4C21-9CB4-E5949530D5A8}">
  <ds:schemaRefs>
    <ds:schemaRef ds:uri="http://schemas.microsoft.com/sharepoint/v3/contenttype/forms"/>
  </ds:schemaRefs>
</ds:datastoreItem>
</file>

<file path=customXml/itemProps3.xml><?xml version="1.0" encoding="utf-8"?>
<ds:datastoreItem xmlns:ds="http://schemas.openxmlformats.org/officeDocument/2006/customXml" ds:itemID="{AF9F84D8-51E4-4DC1-AA8A-F78A9B96B86C}"/>
</file>

<file path=customXml/itemProps4.xml><?xml version="1.0" encoding="utf-8"?>
<ds:datastoreItem xmlns:ds="http://schemas.openxmlformats.org/officeDocument/2006/customXml" ds:itemID="{ABE52C09-710A-4524-898A-3CCE9F7041EF}"/>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3061</Characters>
  <Application>Microsoft Office Word</Application>
  <DocSecurity>0</DocSecurity>
  <Lines>25</Lines>
  <Paragraphs>7</Paragraphs>
  <ScaleCrop>false</ScaleCrop>
  <Company>European Environment Agency</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Becker, Simon</cp:lastModifiedBy>
  <cp:revision>3</cp:revision>
  <dcterms:created xsi:type="dcterms:W3CDTF">2026-09-21T19:02:00Z</dcterms:created>
  <dcterms:modified xsi:type="dcterms:W3CDTF">2026-09-21T20:47:00Z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2c7dfa69-2b72-4b45-a059-4e2e78652565</vt:lpwstr>
  </property>
  <property fmtid="{D5CDD505-2E9C-101B-9397-08002B2CF9AE}" pid="12" name="MediaServiceImageTags">
    <vt:lpwstr/>
  </property>
  <property fmtid="{D5CDD505-2E9C-101B-9397-08002B2CF9AE}" pid="14" name="docLang">
    <vt:lpwstr>en</vt:lpwstr>
  </property>
</Properties>
</file>