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02578" w14:textId="557B3745" w:rsidR="001F354E" w:rsidRPr="001F354E" w:rsidRDefault="00566852" w:rsidP="001F354E">
      <w:pPr>
        <w:rPr>
          <w:b/>
          <w:bCs/>
        </w:rPr>
      </w:pPr>
      <w:r>
        <w:rPr>
          <w:b/>
          <w:bCs/>
        </w:rPr>
        <w:t xml:space="preserve">AI use case: </w:t>
      </w:r>
      <w:r w:rsidR="007A7848" w:rsidRPr="007A7848">
        <w:rPr>
          <w:b/>
          <w:bCs/>
        </w:rPr>
        <w:t>Detection of onshore wind turbines from satellite imagery</w:t>
      </w:r>
    </w:p>
    <w:p w14:paraId="7F9A1BCC" w14:textId="77777777" w:rsidR="001F354E" w:rsidRPr="001F354E" w:rsidRDefault="001F354E" w:rsidP="001F354E">
      <w:pPr>
        <w:rPr>
          <w:b/>
          <w:bCs/>
        </w:rPr>
      </w:pPr>
      <w:r w:rsidRPr="001F354E">
        <w:rPr>
          <w:b/>
          <w:bCs/>
        </w:rPr>
        <w:t>1. Main area</w:t>
      </w:r>
    </w:p>
    <w:p w14:paraId="56294B95" w14:textId="77777777" w:rsidR="001F354E" w:rsidRPr="001F354E" w:rsidRDefault="001F354E" w:rsidP="001F354E">
      <w:r w:rsidRPr="001F354E">
        <w:t>Select the area to which the use case primarily belongs:</w:t>
      </w:r>
    </w:p>
    <w:p w14:paraId="09457151" w14:textId="77777777" w:rsidR="001F354E" w:rsidRPr="001F354E" w:rsidRDefault="001F354E" w:rsidP="00B0740B">
      <w:pPr>
        <w:ind w:firstLine="720"/>
      </w:pPr>
      <w:r w:rsidRPr="001F354E">
        <w:t xml:space="preserve">☐ </w:t>
      </w:r>
      <w:r w:rsidRPr="001F354E">
        <w:rPr>
          <w:b/>
          <w:bCs/>
        </w:rPr>
        <w:t>Strategy, Governance and Organisation</w:t>
      </w:r>
    </w:p>
    <w:p w14:paraId="4818F044" w14:textId="77777777" w:rsidR="001F354E" w:rsidRPr="001F354E" w:rsidRDefault="001F354E" w:rsidP="00B0740B">
      <w:pPr>
        <w:ind w:firstLine="720"/>
      </w:pPr>
      <w:r w:rsidRPr="001F354E">
        <w:t xml:space="preserve">☐ </w:t>
      </w:r>
      <w:r w:rsidRPr="001F354E">
        <w:rPr>
          <w:b/>
          <w:bCs/>
        </w:rPr>
        <w:t>People, Skills and Ways of Working</w:t>
      </w:r>
    </w:p>
    <w:p w14:paraId="7FC6313F" w14:textId="77777777" w:rsidR="001F354E" w:rsidRPr="001F354E" w:rsidRDefault="001F354E" w:rsidP="00B0740B">
      <w:pPr>
        <w:ind w:firstLine="720"/>
      </w:pPr>
      <w:r w:rsidRPr="001F354E">
        <w:t xml:space="preserve">☐ </w:t>
      </w:r>
      <w:r w:rsidRPr="001F354E">
        <w:rPr>
          <w:b/>
          <w:bCs/>
        </w:rPr>
        <w:t>Data, Technologies and Infrastructure</w:t>
      </w:r>
    </w:p>
    <w:p w14:paraId="715C4834" w14:textId="127154FC" w:rsidR="001F354E" w:rsidRPr="001F354E" w:rsidRDefault="00B0740B" w:rsidP="00B0740B">
      <w:pPr>
        <w:ind w:firstLine="720"/>
      </w:pPr>
      <w:r>
        <w:rPr>
          <w:rFonts w:ascii="Courier New" w:hAnsi="Courier New" w:cs="Courier New"/>
        </w:rPr>
        <w:t>■</w:t>
      </w:r>
      <w:r w:rsidR="001F354E" w:rsidRPr="001F354E">
        <w:t xml:space="preserve"> </w:t>
      </w:r>
      <w:r w:rsidR="001F354E" w:rsidRPr="001F354E">
        <w:rPr>
          <w:b/>
          <w:bCs/>
        </w:rPr>
        <w:t>AI Applications and Value Creation</w:t>
      </w:r>
    </w:p>
    <w:p w14:paraId="5E68DEFD" w14:textId="77777777" w:rsidR="001F354E" w:rsidRPr="001F354E" w:rsidRDefault="007A7848" w:rsidP="001F354E">
      <w:r>
        <w:pict w14:anchorId="7496DE2A">
          <v:rect id="_x0000_i1025" style="width:0;height:1.5pt" o:hralign="center" o:hrstd="t" o:hr="t" fillcolor="#a0a0a0" stroked="f"/>
        </w:pict>
      </w:r>
    </w:p>
    <w:p w14:paraId="783F6926" w14:textId="77777777" w:rsidR="001F354E" w:rsidRPr="001F354E" w:rsidRDefault="001F354E" w:rsidP="001F354E">
      <w:pPr>
        <w:rPr>
          <w:b/>
          <w:bCs/>
        </w:rPr>
      </w:pPr>
      <w:r w:rsidRPr="001F354E">
        <w:rPr>
          <w:b/>
          <w:bCs/>
        </w:rPr>
        <w:t>2. Challenge or opportunity</w:t>
      </w:r>
    </w:p>
    <w:p w14:paraId="6125EE22" w14:textId="4C6E2E86" w:rsidR="001F354E" w:rsidRPr="001F354E" w:rsidRDefault="007A7848" w:rsidP="001F354E">
      <w:r w:rsidRPr="007A7848">
        <w:t>The number of wind turbines is rising rapidly with the energy transition, and their locations have to be monitored for sectors well beyond energy — from radar-based weather forecasting to spatial planning. Existing datasets are imprecise or limited in coverage, so a high-precision, regularly updated geolocation dataset is missing.</w:t>
      </w:r>
      <w:r>
        <w:pict w14:anchorId="5AD5E34C">
          <v:rect id="_x0000_i1026" style="width:0;height:1.5pt" o:hralign="center" o:hrstd="t" o:hr="t" fillcolor="#a0a0a0" stroked="f"/>
        </w:pict>
      </w:r>
    </w:p>
    <w:p w14:paraId="072D6A84" w14:textId="77777777" w:rsidR="001F354E" w:rsidRPr="001F354E" w:rsidRDefault="001F354E" w:rsidP="001F354E">
      <w:pPr>
        <w:rPr>
          <w:b/>
          <w:bCs/>
        </w:rPr>
      </w:pPr>
      <w:r w:rsidRPr="001F354E">
        <w:rPr>
          <w:b/>
          <w:bCs/>
        </w:rPr>
        <w:t>3. Proposed use of AI</w:t>
      </w:r>
    </w:p>
    <w:p w14:paraId="24B6E20D" w14:textId="40082F07" w:rsidR="001F354E" w:rsidRPr="001F354E" w:rsidRDefault="007A7848" w:rsidP="001F354E">
      <w:r w:rsidRPr="007A7848">
        <w:t>An automated pipeline detects onshore wind turbines in satellite imagery (PlanetScope, RGB) using a YOLO object detection model. Data acquisition, preprocessing and inference run automatically and are repeated periodically, producing a versioned dataset that shows both the current state and its development over time.</w:t>
      </w:r>
      <w:r>
        <w:pict w14:anchorId="5A7DC621">
          <v:rect id="_x0000_i1027" style="width:0;height:1.5pt" o:hralign="center" o:hrstd="t" o:hr="t" fillcolor="#a0a0a0" stroked="f"/>
        </w:pict>
      </w:r>
    </w:p>
    <w:p w14:paraId="170AD88E" w14:textId="59619E09" w:rsidR="001F354E" w:rsidRPr="001F354E" w:rsidRDefault="001F354E" w:rsidP="001F354E">
      <w:pPr>
        <w:rPr>
          <w:b/>
          <w:bCs/>
        </w:rPr>
      </w:pPr>
      <w:r w:rsidRPr="001F354E">
        <w:rPr>
          <w:b/>
          <w:bCs/>
        </w:rPr>
        <w:t>4. Scope</w:t>
      </w:r>
    </w:p>
    <w:p w14:paraId="14FA8781" w14:textId="55501DEA" w:rsidR="007A7848" w:rsidRPr="007A7848" w:rsidRDefault="007A7848" w:rsidP="007A7848">
      <w:pPr>
        <w:pStyle w:val="Listenabsatz"/>
        <w:numPr>
          <w:ilvl w:val="0"/>
          <w:numId w:val="11"/>
        </w:numPr>
        <w:ind w:left="641" w:hanging="284"/>
      </w:pPr>
      <w:r>
        <w:t xml:space="preserve">Territory of </w:t>
      </w:r>
      <w:r w:rsidRPr="007A7848">
        <w:t>Germany, with an optional 100 km buffer zone.</w:t>
      </w:r>
    </w:p>
    <w:p w14:paraId="6A2D156F" w14:textId="36323D35" w:rsidR="007A7848" w:rsidRPr="007A7848" w:rsidRDefault="007A7848" w:rsidP="007A7848">
      <w:pPr>
        <w:pStyle w:val="Listenabsatz"/>
        <w:numPr>
          <w:ilvl w:val="0"/>
          <w:numId w:val="11"/>
        </w:numPr>
        <w:ind w:left="641" w:hanging="284"/>
      </w:pPr>
      <w:r w:rsidRPr="007A7848">
        <w:t>Geolocation of existing onshore turbines only.</w:t>
      </w:r>
    </w:p>
    <w:p w14:paraId="5E9C3EA8" w14:textId="407D39A9" w:rsidR="007A7848" w:rsidRPr="007A7848" w:rsidRDefault="007A7848" w:rsidP="007A7848">
      <w:pPr>
        <w:pStyle w:val="Listenabsatz"/>
        <w:numPr>
          <w:ilvl w:val="0"/>
          <w:numId w:val="11"/>
        </w:numPr>
        <w:ind w:left="641" w:hanging="284"/>
      </w:pPr>
      <w:r w:rsidRPr="007A7848">
        <w:t>Not included: derivation of plant parameters such as rotor length or hub height, and detection of offshore turbines.</w:t>
      </w:r>
    </w:p>
    <w:p w14:paraId="5BF487C0" w14:textId="7D989004" w:rsidR="001F354E" w:rsidRPr="001F354E" w:rsidRDefault="007A7848" w:rsidP="007A7848">
      <w:pPr>
        <w:pStyle w:val="Listenabsatz"/>
        <w:numPr>
          <w:ilvl w:val="0"/>
          <w:numId w:val="11"/>
        </w:numPr>
        <w:ind w:left="641" w:hanging="284"/>
      </w:pPr>
      <w:r w:rsidRPr="007A7848">
        <w:t>Designed to scale: the area can be extended, for example to European level, and complementary sources such as LiDAR can add data depth</w:t>
      </w:r>
      <w:r w:rsidRPr="007A7848">
        <w:rPr>
          <w:b/>
          <w:bCs/>
        </w:rPr>
        <w:t>.</w:t>
      </w:r>
    </w:p>
    <w:p w14:paraId="4F08AFD5" w14:textId="77777777" w:rsidR="001F354E" w:rsidRPr="001F354E" w:rsidRDefault="007A7848" w:rsidP="001F354E">
      <w:r>
        <w:pict w14:anchorId="2626D2EE">
          <v:rect id="_x0000_i1028" style="width:0;height:1.5pt" o:hralign="center" o:hrstd="t" o:hr="t" fillcolor="#a0a0a0" stroked="f"/>
        </w:pict>
      </w:r>
    </w:p>
    <w:p w14:paraId="1B4E6B7A" w14:textId="77777777" w:rsidR="001F354E" w:rsidRPr="001F354E" w:rsidRDefault="001F354E" w:rsidP="001F354E">
      <w:pPr>
        <w:rPr>
          <w:b/>
          <w:bCs/>
        </w:rPr>
      </w:pPr>
      <w:r w:rsidRPr="001F354E">
        <w:rPr>
          <w:b/>
          <w:bCs/>
        </w:rPr>
        <w:t>5. Expected outcome</w:t>
      </w:r>
    </w:p>
    <w:p w14:paraId="450C5D79" w14:textId="1CF258FB" w:rsidR="001F354E" w:rsidRPr="007A7848" w:rsidRDefault="007A7848" w:rsidP="001F354E">
      <w:r w:rsidRPr="007A7848">
        <w:t>A regularly updated, uniform and high-resolution dataset of wind turbine locations that is more precise than what is available today. It supports an accurate current-state overview as well as time-series analysis of construction and decommissioning, and serves as a basis for uncluttering radar data, monitoring infrastructure lifecycles and comparing energy yields.</w:t>
      </w:r>
      <w:r w:rsidRPr="007A7848">
        <w:pict w14:anchorId="3A76C05D">
          <v:rect id="_x0000_i1029" style="width:0;height:1.5pt" o:hralign="center" o:hrstd="t" o:hr="t" fillcolor="#a0a0a0" stroked="f"/>
        </w:pict>
      </w:r>
    </w:p>
    <w:p w14:paraId="066AC121" w14:textId="77777777" w:rsidR="001F354E" w:rsidRPr="001F354E" w:rsidRDefault="001F354E" w:rsidP="001F354E">
      <w:pPr>
        <w:rPr>
          <w:b/>
          <w:bCs/>
        </w:rPr>
      </w:pPr>
      <w:r w:rsidRPr="001F354E">
        <w:rPr>
          <w:b/>
          <w:bCs/>
        </w:rPr>
        <w:t>6. Contribution to the environment and digital agenda</w:t>
      </w:r>
    </w:p>
    <w:p w14:paraId="19A2A49E" w14:textId="3E162AF1" w:rsidR="001F354E" w:rsidRPr="001F354E" w:rsidRDefault="007A7848" w:rsidP="001F354E">
      <w:r w:rsidRPr="007A7848">
        <w:t xml:space="preserve">The dataset supports the energy transition by making the expansion of renewable infrastructure measurable, which helps reconcile competing interests in spatial and land-use planning. Digitally, it </w:t>
      </w:r>
      <w:r w:rsidRPr="007A7848">
        <w:lastRenderedPageBreak/>
        <w:t>establishes a standardised, machine-readable data basis that can be analysed along several dimensions and enriched with further sources.</w:t>
      </w:r>
      <w:r>
        <w:pict w14:anchorId="78BE89B2">
          <v:rect id="_x0000_i1030" style="width:0;height:1.5pt" o:hralign="center" o:hrstd="t" o:hr="t" fillcolor="#a0a0a0" stroked="f"/>
        </w:pict>
      </w:r>
    </w:p>
    <w:p w14:paraId="0F9210FA" w14:textId="77777777" w:rsidR="001F354E" w:rsidRPr="001F354E" w:rsidRDefault="001F354E" w:rsidP="001F354E">
      <w:pPr>
        <w:rPr>
          <w:b/>
          <w:bCs/>
        </w:rPr>
      </w:pPr>
      <w:r w:rsidRPr="001F354E">
        <w:rPr>
          <w:b/>
          <w:bCs/>
        </w:rPr>
        <w:t>7. Key conditions and considerations</w:t>
      </w:r>
    </w:p>
    <w:p w14:paraId="00409EC8" w14:textId="072FE2CF" w:rsidR="007A7848" w:rsidRPr="007A7848" w:rsidRDefault="007A7848" w:rsidP="007A7848">
      <w:pPr>
        <w:pStyle w:val="Listenabsatz"/>
        <w:numPr>
          <w:ilvl w:val="0"/>
          <w:numId w:val="11"/>
        </w:numPr>
        <w:ind w:left="697" w:hanging="340"/>
      </w:pPr>
      <w:r w:rsidRPr="007A7848">
        <w:t>Timely availability and quality of satellite data from providers are critical dependencies.</w:t>
      </w:r>
    </w:p>
    <w:p w14:paraId="4A181CEC" w14:textId="7A51175E" w:rsidR="007A7848" w:rsidRPr="007A7848" w:rsidRDefault="007A7848" w:rsidP="007A7848">
      <w:pPr>
        <w:pStyle w:val="Listenabsatz"/>
        <w:numPr>
          <w:ilvl w:val="0"/>
          <w:numId w:val="11"/>
        </w:numPr>
        <w:ind w:left="697" w:hanging="340"/>
      </w:pPr>
      <w:r w:rsidRPr="007A7848">
        <w:t>Human review must remain part of the workflow, especially when scaling geographically or across longer time intervals, as turbine appearance and design change.</w:t>
      </w:r>
    </w:p>
    <w:p w14:paraId="53854E2B" w14:textId="0A01DB4D" w:rsidR="006D23FF" w:rsidRDefault="007A7848" w:rsidP="007A7848">
      <w:pPr>
        <w:pStyle w:val="Listenabsatz"/>
        <w:numPr>
          <w:ilvl w:val="0"/>
          <w:numId w:val="11"/>
        </w:numPr>
        <w:ind w:left="697" w:hanging="340"/>
      </w:pPr>
      <w:r w:rsidRPr="007A7848">
        <w:t>The model is trained on existing onshore turbines; offshore plants or substantially new designs require further model development.</w:t>
      </w:r>
      <w:r w:rsidR="006D23FF">
        <w:br w:type="page"/>
      </w:r>
    </w:p>
    <w:p w14:paraId="01E1DEF5" w14:textId="77777777" w:rsidR="006D23FF" w:rsidRPr="00421F28" w:rsidRDefault="006D23FF" w:rsidP="006D23FF">
      <w:pPr>
        <w:rPr>
          <w:b/>
          <w:bCs/>
        </w:rPr>
      </w:pPr>
      <w:r w:rsidRPr="00421F28">
        <w:rPr>
          <w:b/>
          <w:bCs/>
        </w:rPr>
        <w:lastRenderedPageBreak/>
        <w:t>Example of the intended level of detail</w:t>
      </w:r>
    </w:p>
    <w:p w14:paraId="513310DB" w14:textId="77777777" w:rsidR="006D23FF" w:rsidRPr="00421F28" w:rsidRDefault="006D23FF" w:rsidP="006D23FF">
      <w:pPr>
        <w:rPr>
          <w:b/>
          <w:bCs/>
        </w:rPr>
      </w:pPr>
      <w:r w:rsidRPr="00421F28">
        <w:rPr>
          <w:b/>
          <w:bCs/>
        </w:rPr>
        <w:t>AI-assisted quality control of environmental reporting data</w:t>
      </w:r>
    </w:p>
    <w:p w14:paraId="2F1A6FB6" w14:textId="77777777" w:rsidR="006D23FF" w:rsidRPr="00421F28" w:rsidRDefault="006D23FF" w:rsidP="006D23FF">
      <w:r w:rsidRPr="00421F28">
        <w:rPr>
          <w:b/>
          <w:bCs/>
        </w:rPr>
        <w:t>Main area:</w:t>
      </w:r>
      <w:r w:rsidRPr="00421F28">
        <w:br/>
        <w:t>AI Applications and Value Creation</w:t>
      </w:r>
    </w:p>
    <w:p w14:paraId="243C74E8" w14:textId="77777777" w:rsidR="006D23FF" w:rsidRPr="00421F28" w:rsidRDefault="006D23FF" w:rsidP="006D23FF">
      <w:r w:rsidRPr="00421F28">
        <w:rPr>
          <w:b/>
          <w:bCs/>
        </w:rPr>
        <w:t>Challenge or opportunity:</w:t>
      </w:r>
      <w:r w:rsidRPr="00421F28">
        <w:br/>
        <w:t>Currently, reporting and data experts spend substantial effort identifying missing values, inconsistencies and unusual patterns in environmental reporting data. This can delay feedback to reporters and reduce the time available for expert analysis.</w:t>
      </w:r>
    </w:p>
    <w:p w14:paraId="3E5DAF50" w14:textId="77777777" w:rsidR="006D23FF" w:rsidRPr="00421F28" w:rsidRDefault="006D23FF" w:rsidP="006D23FF">
      <w:r w:rsidRPr="00421F28">
        <w:rPr>
          <w:b/>
          <w:bCs/>
        </w:rPr>
        <w:t>Proposed use of AI:</w:t>
      </w:r>
      <w:r w:rsidRPr="00421F28">
        <w:br/>
        <w:t>The use case would apply AI to identify and prioritise potential anomalies in submitted environmental data. It would support reporting and data experts by directing their attention to records requiring further review, while experts would remain responsible for validating findings and deciding on follow-up.</w:t>
      </w:r>
    </w:p>
    <w:p w14:paraId="2B1B7165" w14:textId="77777777" w:rsidR="006D23FF" w:rsidRPr="00421F28" w:rsidRDefault="006D23FF" w:rsidP="006D23FF">
      <w:r w:rsidRPr="00421F28">
        <w:rPr>
          <w:b/>
          <w:bCs/>
        </w:rPr>
        <w:t>Scope:</w:t>
      </w:r>
      <w:r w:rsidRPr="00421F28">
        <w:br/>
        <w:t>The use case covers initial quality screening of selected environmental reporting dataflows. It uses submitted data, validation rules and relevant historical records. It does not include fully automated acceptance or rejection of reported data.</w:t>
      </w:r>
    </w:p>
    <w:p w14:paraId="56DA07A8" w14:textId="77777777" w:rsidR="006D23FF" w:rsidRPr="00421F28" w:rsidRDefault="006D23FF" w:rsidP="006D23FF">
      <w:r w:rsidRPr="00421F28">
        <w:rPr>
          <w:b/>
          <w:bCs/>
        </w:rPr>
        <w:t>Expected outcome:</w:t>
      </w:r>
      <w:r w:rsidRPr="00421F28">
        <w:br/>
        <w:t>The expected outcome is earlier identification of potential data-quality issues and more focused use of expert capacity. Success would be demonstrated by useful detection of anomalies, faster feedback and reduced repetitive screening.</w:t>
      </w:r>
    </w:p>
    <w:p w14:paraId="05649B51" w14:textId="77777777" w:rsidR="006D23FF" w:rsidRPr="00421F28" w:rsidRDefault="006D23FF" w:rsidP="006D23FF">
      <w:r w:rsidRPr="00421F28">
        <w:rPr>
          <w:b/>
          <w:bCs/>
        </w:rPr>
        <w:t>Contribution to the environment and digital agenda:</w:t>
      </w:r>
      <w:r w:rsidRPr="00421F28">
        <w:br/>
        <w:t>The use case contributes to the environmental agenda by improving the reliability and timeliness of information used for environmental monitoring and assessment. It supports the digital agenda by strengthening data quality and introducing responsible automation into reporting services.</w:t>
      </w:r>
    </w:p>
    <w:p w14:paraId="7FA71963" w14:textId="77777777" w:rsidR="006D23FF" w:rsidRPr="00421F28" w:rsidRDefault="006D23FF" w:rsidP="006D23FF">
      <w:r w:rsidRPr="00421F28">
        <w:rPr>
          <w:b/>
          <w:bCs/>
        </w:rPr>
        <w:t>Key conditions and considerations:</w:t>
      </w:r>
    </w:p>
    <w:p w14:paraId="4885D630" w14:textId="77777777" w:rsidR="006D23FF" w:rsidRPr="00421F28" w:rsidRDefault="006D23FF" w:rsidP="006D23FF">
      <w:pPr>
        <w:numPr>
          <w:ilvl w:val="0"/>
          <w:numId w:val="9"/>
        </w:numPr>
      </w:pPr>
      <w:r w:rsidRPr="00421F28">
        <w:t>Suitable and representative data must be available.</w:t>
      </w:r>
    </w:p>
    <w:p w14:paraId="5176C694" w14:textId="77777777" w:rsidR="006D23FF" w:rsidRPr="00421F28" w:rsidRDefault="006D23FF" w:rsidP="006D23FF">
      <w:pPr>
        <w:numPr>
          <w:ilvl w:val="0"/>
          <w:numId w:val="9"/>
        </w:numPr>
      </w:pPr>
      <w:r w:rsidRPr="00421F28">
        <w:t>Results must be transparent enough for expert validation.</w:t>
      </w:r>
    </w:p>
    <w:p w14:paraId="54ACFF1F" w14:textId="77777777" w:rsidR="006D23FF" w:rsidRPr="00421F28" w:rsidRDefault="006D23FF" w:rsidP="006D23FF">
      <w:pPr>
        <w:numPr>
          <w:ilvl w:val="0"/>
          <w:numId w:val="9"/>
        </w:numPr>
      </w:pPr>
      <w:r w:rsidRPr="00421F28">
        <w:t>Data ownership and responsibilities must be clear.</w:t>
      </w:r>
    </w:p>
    <w:p w14:paraId="0BC41C8F" w14:textId="77777777" w:rsidR="006D23FF" w:rsidRPr="00421F28" w:rsidRDefault="006D23FF" w:rsidP="006D23FF">
      <w:pPr>
        <w:numPr>
          <w:ilvl w:val="0"/>
          <w:numId w:val="9"/>
        </w:numPr>
      </w:pPr>
      <w:r w:rsidRPr="00421F28">
        <w:t>Human review must remain part of the workflow.</w:t>
      </w:r>
    </w:p>
    <w:p w14:paraId="7D885AAF" w14:textId="77777777" w:rsidR="006D23FF" w:rsidRPr="00421F28" w:rsidRDefault="006D23FF" w:rsidP="006D23FF">
      <w:pPr>
        <w:numPr>
          <w:ilvl w:val="0"/>
          <w:numId w:val="9"/>
        </w:numPr>
      </w:pPr>
      <w:r w:rsidRPr="00421F28">
        <w:t>The solution should be designed for possible reuse across dataflows.</w:t>
      </w:r>
    </w:p>
    <w:p w14:paraId="5D72382C" w14:textId="77777777" w:rsidR="006D23FF" w:rsidRDefault="006D23FF"/>
    <w:sectPr w:rsidR="006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7646F"/>
    <w:multiLevelType w:val="hybridMultilevel"/>
    <w:tmpl w:val="A3A2E6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7CE5FC3"/>
    <w:multiLevelType w:val="hybridMultilevel"/>
    <w:tmpl w:val="C8D8943A"/>
    <w:lvl w:ilvl="0" w:tplc="614E844C">
      <w:numFmt w:val="bullet"/>
      <w:lvlText w:val="•"/>
      <w:lvlJc w:val="left"/>
      <w:pPr>
        <w:ind w:left="1080" w:hanging="72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DE2A48"/>
    <w:multiLevelType w:val="hybridMultilevel"/>
    <w:tmpl w:val="82E880E2"/>
    <w:lvl w:ilvl="0" w:tplc="614E844C">
      <w:numFmt w:val="bullet"/>
      <w:lvlText w:val="•"/>
      <w:lvlJc w:val="left"/>
      <w:pPr>
        <w:ind w:left="1080" w:hanging="72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9"/>
  </w:num>
  <w:num w:numId="2" w16cid:durableId="1245992449">
    <w:abstractNumId w:val="1"/>
  </w:num>
  <w:num w:numId="3" w16cid:durableId="1067532767">
    <w:abstractNumId w:val="7"/>
  </w:num>
  <w:num w:numId="4" w16cid:durableId="1036537881">
    <w:abstractNumId w:val="8"/>
  </w:num>
  <w:num w:numId="5" w16cid:durableId="1203714998">
    <w:abstractNumId w:val="6"/>
  </w:num>
  <w:num w:numId="6" w16cid:durableId="1087338183">
    <w:abstractNumId w:val="0"/>
  </w:num>
  <w:num w:numId="7" w16cid:durableId="1932275384">
    <w:abstractNumId w:val="10"/>
  </w:num>
  <w:num w:numId="8" w16cid:durableId="273482638">
    <w:abstractNumId w:val="2"/>
  </w:num>
  <w:num w:numId="9" w16cid:durableId="1827941632">
    <w:abstractNumId w:val="11"/>
  </w:num>
  <w:num w:numId="10" w16cid:durableId="2092003872">
    <w:abstractNumId w:val="3"/>
  </w:num>
  <w:num w:numId="11" w16cid:durableId="77748567">
    <w:abstractNumId w:val="4"/>
  </w:num>
  <w:num w:numId="12" w16cid:durableId="53548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16754"/>
    <w:rsid w:val="0002545C"/>
    <w:rsid w:val="000546AE"/>
    <w:rsid w:val="00062A8A"/>
    <w:rsid w:val="001030BC"/>
    <w:rsid w:val="00106AB2"/>
    <w:rsid w:val="00107550"/>
    <w:rsid w:val="001905D3"/>
    <w:rsid w:val="00196AA3"/>
    <w:rsid w:val="001F354E"/>
    <w:rsid w:val="0021288F"/>
    <w:rsid w:val="00264A44"/>
    <w:rsid w:val="00272782"/>
    <w:rsid w:val="00280834"/>
    <w:rsid w:val="00364EE3"/>
    <w:rsid w:val="003A78C4"/>
    <w:rsid w:val="0040199A"/>
    <w:rsid w:val="00512747"/>
    <w:rsid w:val="00531E25"/>
    <w:rsid w:val="005459F9"/>
    <w:rsid w:val="00566852"/>
    <w:rsid w:val="005839D2"/>
    <w:rsid w:val="005C70FB"/>
    <w:rsid w:val="005F541C"/>
    <w:rsid w:val="005F781A"/>
    <w:rsid w:val="00613D8C"/>
    <w:rsid w:val="006B44EA"/>
    <w:rsid w:val="006D23FF"/>
    <w:rsid w:val="006E46FD"/>
    <w:rsid w:val="00701CDD"/>
    <w:rsid w:val="00710B53"/>
    <w:rsid w:val="007A7848"/>
    <w:rsid w:val="007D2886"/>
    <w:rsid w:val="007D63D9"/>
    <w:rsid w:val="00873099"/>
    <w:rsid w:val="009E7520"/>
    <w:rsid w:val="00A6537A"/>
    <w:rsid w:val="00A86F16"/>
    <w:rsid w:val="00B0740B"/>
    <w:rsid w:val="00B2735C"/>
    <w:rsid w:val="00C42C78"/>
    <w:rsid w:val="00C7706F"/>
    <w:rsid w:val="00CE296E"/>
    <w:rsid w:val="00D069F0"/>
    <w:rsid w:val="00D748A2"/>
    <w:rsid w:val="00D93085"/>
    <w:rsid w:val="00E06A41"/>
    <w:rsid w:val="00E307B0"/>
    <w:rsid w:val="00E46F3C"/>
    <w:rsid w:val="00EC6320"/>
    <w:rsid w:val="00EC7889"/>
    <w:rsid w:val="00F113E4"/>
    <w:rsid w:val="00F54FED"/>
    <w:rsid w:val="00F56FA7"/>
    <w:rsid w:val="00FA094D"/>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F354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F354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F354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F35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F35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F35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F35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F354E"/>
    <w:rPr>
      <w:rFonts w:eastAsiaTheme="majorEastAsia" w:cstheme="majorBidi"/>
      <w:color w:val="272727" w:themeColor="text1" w:themeTint="D8"/>
    </w:rPr>
  </w:style>
  <w:style w:type="paragraph" w:styleId="Titel">
    <w:name w:val="Title"/>
    <w:basedOn w:val="Standard"/>
    <w:next w:val="Standard"/>
    <w:link w:val="TitelZchn"/>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F35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F35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F35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F354E"/>
    <w:rPr>
      <w:i/>
      <w:iCs/>
      <w:color w:val="404040" w:themeColor="text1" w:themeTint="BF"/>
    </w:rPr>
  </w:style>
  <w:style w:type="paragraph" w:styleId="Listenabsatz">
    <w:name w:val="List Paragraph"/>
    <w:basedOn w:val="Standard"/>
    <w:uiPriority w:val="34"/>
    <w:qFormat/>
    <w:rsid w:val="001F354E"/>
    <w:pPr>
      <w:ind w:left="720"/>
      <w:contextualSpacing/>
    </w:pPr>
  </w:style>
  <w:style w:type="character" w:styleId="IntensiveHervorhebung">
    <w:name w:val="Intense Emphasis"/>
    <w:basedOn w:val="Absatz-Standardschriftart"/>
    <w:uiPriority w:val="21"/>
    <w:qFormat/>
    <w:rsid w:val="001F354E"/>
    <w:rPr>
      <w:i/>
      <w:iCs/>
      <w:color w:val="0F4761" w:themeColor="accent1" w:themeShade="BF"/>
    </w:rPr>
  </w:style>
  <w:style w:type="paragraph" w:styleId="IntensivesZitat">
    <w:name w:val="Intense Quote"/>
    <w:basedOn w:val="Standard"/>
    <w:next w:val="Standard"/>
    <w:link w:val="IntensivesZitatZchn"/>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F354E"/>
    <w:rPr>
      <w:i/>
      <w:iCs/>
      <w:color w:val="0F4761" w:themeColor="accent1" w:themeShade="BF"/>
    </w:rPr>
  </w:style>
  <w:style w:type="character" w:styleId="IntensiverVerweis">
    <w:name w:val="Intense Reference"/>
    <w:basedOn w:val="Absatz-Standardschriftart"/>
    <w:uiPriority w:val="32"/>
    <w:qFormat/>
    <w:rsid w:val="001F354E"/>
    <w:rPr>
      <w:b/>
      <w:bCs/>
      <w:smallCaps/>
      <w:color w:val="0F4761" w:themeColor="accent1" w:themeShade="BF"/>
      <w:spacing w:val="5"/>
    </w:rPr>
  </w:style>
  <w:style w:type="character" w:styleId="Hyperlink">
    <w:name w:val="Hyperlink"/>
    <w:basedOn w:val="Absatz-Standardschriftart"/>
    <w:uiPriority w:val="99"/>
    <w:unhideWhenUsed/>
    <w:rsid w:val="001F354E"/>
    <w:rPr>
      <w:color w:val="467886" w:themeColor="hyperlink"/>
      <w:u w:val="single"/>
    </w:rPr>
  </w:style>
  <w:style w:type="character" w:styleId="NichtaufgelsteErwhnung">
    <w:name w:val="Unresolved Mention"/>
    <w:basedOn w:val="Absatz-Standardschriftart"/>
    <w:uiPriority w:val="99"/>
    <w:semiHidden/>
    <w:unhideWhenUsed/>
    <w:rsid w:val="001F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136347">
      <w:bodyDiv w:val="1"/>
      <w:marLeft w:val="0"/>
      <w:marRight w:val="0"/>
      <w:marTop w:val="0"/>
      <w:marBottom w:val="0"/>
      <w:divBdr>
        <w:top w:val="none" w:sz="0" w:space="0" w:color="auto"/>
        <w:left w:val="none" w:sz="0" w:space="0" w:color="auto"/>
        <w:bottom w:val="none" w:sz="0" w:space="0" w:color="auto"/>
        <w:right w:val="none" w:sz="0" w:space="0" w:color="auto"/>
      </w:divBdr>
    </w:div>
    <w:div w:id="122683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EIONET-1333827832-65368</_dlc_DocId>
    <_dlc_DocIdUrl xmlns="0f6cf646-3f47-4639-ab1a-910193be0788">
      <Url>https://eea1.sharepoint.com/teams/-EXT-Eionet/_layouts/15/DocIdRedir.aspx?ID=EIONET-1333827832-65368</Url>
      <Description>EIONET-1333827832-65368</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2.xml><?xml version="1.0" encoding="utf-8"?>
<ds:datastoreItem xmlns:ds="http://schemas.openxmlformats.org/officeDocument/2006/customXml" ds:itemID="{75EF4528-90DE-4BD5-8669-B752BF295F34}">
  <ds:schemaRefs>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7b175a76-765b-4d9f-a61f-953dba50e39e"/>
    <ds:schemaRef ds:uri="http://purl.org/dc/dcmitype/"/>
    <ds:schemaRef ds:uri="05ac9e7b-981d-4fe1-99ab-11dac8fef5bf"/>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1304E5F1-2517-4401-96C5-7326699914D3}"/>
</file>

<file path=customXml/itemProps4.xml><?xml version="1.0" encoding="utf-8"?>
<ds:datastoreItem xmlns:ds="http://schemas.openxmlformats.org/officeDocument/2006/customXml" ds:itemID="{E008C89A-7971-4495-A9FE-A549221209C6}"/>
</file>

<file path=docProps/app.xml><?xml version="1.0" encoding="utf-8"?>
<Properties xmlns="http://schemas.openxmlformats.org/officeDocument/2006/extended-properties" xmlns:vt="http://schemas.openxmlformats.org/officeDocument/2006/docPropsVTypes">
  <Template>Normal.dotm</Template>
  <TotalTime>0</TotalTime>
  <Pages>3</Pages>
  <Words>613</Words>
  <Characters>3862</Characters>
  <Application>Microsoft Office Word</Application>
  <DocSecurity>0</DocSecurity>
  <Lines>32</Lines>
  <Paragraphs>8</Paragraphs>
  <ScaleCrop>false</ScaleCrop>
  <Company>European Environment Agency</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Becker, Simon</cp:lastModifiedBy>
  <cp:revision>3</cp:revision>
  <dcterms:created xsi:type="dcterms:W3CDTF">2026-09-25T16:32:00Z</dcterms:created>
  <dcterms:modified xsi:type="dcterms:W3CDTF">2026-09-25T16:35:00Z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84ace34b-9de2-42d8-a957-30ebbeafc589</vt:lpwstr>
  </property>
  <property fmtid="{D5CDD505-2E9C-101B-9397-08002B2CF9AE}" pid="12" name="MediaServiceImageTags">
    <vt:lpwstr/>
  </property>
  <property fmtid="{D5CDD505-2E9C-101B-9397-08002B2CF9AE}" pid="14" name="docLang">
    <vt:lpwstr>en</vt:lpwstr>
  </property>
</Properties>
</file>