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jolrfj1blh85" w:id="0"/>
      <w:bookmarkEnd w:id="0"/>
      <w:r w:rsidDel="00000000" w:rsidR="00000000" w:rsidRPr="00000000">
        <w:rPr>
          <w:rtl w:val="0"/>
        </w:rPr>
        <w:t xml:space="preserve">TQS: Quality Assurance manual</w:t>
      </w:r>
    </w:p>
    <w:p w:rsidR="00000000" w:rsidDel="00000000" w:rsidP="00000000" w:rsidRDefault="00000000" w:rsidRPr="00000000" w14:paraId="00000002">
      <w:pPr>
        <w:spacing w:before="120" w:lineRule="auto"/>
        <w:ind w:left="0"/>
        <w:rPr>
          <w:rFonts w:ascii="Aptos Light" w:cs="Aptos Light" w:eastAsia="Aptos Light" w:hAnsi="Aptos Light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 Light" w:cs="Aptos Light" w:eastAsia="Aptos Light" w:hAnsi="Aptos Light"/>
          <w:i w:val="1"/>
          <w:sz w:val="22"/>
          <w:szCs w:val="22"/>
          <w:rtl w:val="0"/>
        </w:rPr>
        <w:t xml:space="preserve">Gonçalo Abrantes[104152] João Morais [103730] Nuno Faria[112994] Pedro Rei [107463]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v2025-05-19</w:t>
      </w:r>
    </w:p>
    <w:p w:rsidR="00000000" w:rsidDel="00000000" w:rsidP="00000000" w:rsidRDefault="00000000" w:rsidRPr="00000000" w14:paraId="00000004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2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42"/>
            </w:tabs>
            <w:spacing w:after="0" w:before="240" w:line="240" w:lineRule="auto"/>
            <w:ind w:left="14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jolrfj1blh85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TQS: Quality Assurance manual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42"/>
              <w:tab w:val="left" w:leader="none" w:pos="567"/>
            </w:tabs>
            <w:spacing w:after="0" w:before="0" w:line="240" w:lineRule="auto"/>
            <w:ind w:left="14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nk91qcde0en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enk91qcde0e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_heading=h.enk91qcde0en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Project management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upk2r40pfl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qupk2r40pf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_heading=h.qupk2r40pflm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Assigned roles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xjodc4kkth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hxjodc4kkth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_heading=h.hxjodc4kkthn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Backlog grooming and progress monitoring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42"/>
              <w:tab w:val="left" w:leader="none" w:pos="567"/>
            </w:tabs>
            <w:spacing w:after="0" w:before="240" w:line="240" w:lineRule="auto"/>
            <w:ind w:left="14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97bj520hwq8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z97bj520hw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_heading=h.z97bj520hwq8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Code quality management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4mirhfg4jtd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s4mirhfg4j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_heading=h.s4mirhfg4jtd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Team policy for the use of generative AI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z1t2l86vva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iz1t2l86vv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_heading=h.iz1t2l86vvav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Guidelines for contributors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tt1xjaakhoa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ett1xjaakh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_heading=h.ett1xjaakhoa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Code quality metrics and dashboards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42"/>
              <w:tab w:val="left" w:leader="none" w:pos="567"/>
            </w:tabs>
            <w:spacing w:after="0" w:before="240" w:line="240" w:lineRule="auto"/>
            <w:ind w:left="14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r2m81lsaete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kr2m81lsae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_heading=h.kr2m81lsaete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Continuous delivery pipeline (CI/CD)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c07zmhn8exu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uc07zmhn8ex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_heading=h.uc07zmhn8exu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Development workflow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abkxugz3zn2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5abkxugz3z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_heading=h.5abkxugz3zn2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CI/CD pipeline and tools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cpiuheao7v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bcpiuheao7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_heading=h.bcpiuheao7vv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System observability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l8ii9kebv56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jl8ii9kebv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_heading=h.jl8ii9kebv56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Artifacts repository [Optional]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742"/>
              <w:tab w:val="left" w:leader="none" w:pos="567"/>
            </w:tabs>
            <w:spacing w:after="0" w:before="240" w:line="240" w:lineRule="auto"/>
            <w:ind w:left="14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opdde8i7oig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oopdde8i7oi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_heading=h.oopdde8i7oig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Software testing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3u19pl1yd1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e3u19pl1yd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_heading=h.e3u19pl1yd10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Overall testing strategy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ge0xs95u1s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bge0xs95u1s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_heading=h.bge0xs95u1s3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Functional testing and ATDD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80zf1xk6g6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880zf1xk6g6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_heading=h.880zf1xk6g6g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Developer facing testes (unit, integration)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3m61to9lnz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t3m61to9lnz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_heading=h.t3m61to9lnz4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Exploratory testing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puzrlx2c4t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epuzrlx2c4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_heading=h.epuzrlx2c4t0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Non-function and architecture attributes testing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bookmarkStart w:colFirst="0" w:colLast="0" w:name="_heading=h.cjosxbnccgi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3"/>
        </w:numPr>
        <w:ind w:left="432" w:hanging="432"/>
        <w:rPr/>
      </w:pPr>
      <w:bookmarkStart w:colFirst="0" w:colLast="0" w:name="_heading=h.enk91qcde0en" w:id="2"/>
      <w:bookmarkEnd w:id="2"/>
      <w:r w:rsidDel="00000000" w:rsidR="00000000" w:rsidRPr="00000000">
        <w:rPr>
          <w:rtl w:val="0"/>
        </w:rPr>
        <w:t xml:space="preserve">Project management</w:t>
      </w:r>
    </w:p>
    <w:p w:rsidR="00000000" w:rsidDel="00000000" w:rsidP="00000000" w:rsidRDefault="00000000" w:rsidRPr="00000000" w14:paraId="0000001F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qupk2r40pflm" w:id="3"/>
      <w:bookmarkEnd w:id="3"/>
      <w:r w:rsidDel="00000000" w:rsidR="00000000" w:rsidRPr="00000000">
        <w:rPr>
          <w:rtl w:val="0"/>
        </w:rPr>
        <w:t xml:space="preserve">Assigned roles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Team Coordinator (Pedro Rei):  Garantir a distribuição justa de tarefas, promover a colaboração da equipa, resolver problemas proativamente e assegurar a entrega pontual dos resultados do projeto.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Product Owner (Nuno Faria): Representa os interesses das partes interessadas, compreende profundamente o produto e o domínio de aplicação, esclarece dúvidas sobre as funcionalidades esperadas e participa na aceitação dos incrementos da solução.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QA Engineer (João Morais): Responsável, em articulação com outros papéis, por promover práticas de garantia de qualidade, aplicar instrumentos de medição e monitorar o cumprimento das práticas acordadas pela equipa.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DevOps Master (Gonçalo Abrantes): Responsável pela infraestrutura de desenvolvimento e produção, garantindo o correto funcionamento do framework e liderando a preparação de máquinas ou contêineres de deployment, repositórios Git, infraestrutura em cloud, operações de base de dados, entre outros.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Developer: Todos os membros contribuem para as tarefas de desenvolvimento.</w:t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hxjodc4kkthn" w:id="4"/>
      <w:bookmarkEnd w:id="4"/>
      <w:r w:rsidDel="00000000" w:rsidR="00000000" w:rsidRPr="00000000">
        <w:rPr>
          <w:rtl w:val="0"/>
        </w:rPr>
        <w:t xml:space="preserve">Backlog grooming and progress monitoring</w:t>
      </w:r>
    </w:p>
    <w:p w:rsidR="00000000" w:rsidDel="00000000" w:rsidP="00000000" w:rsidRDefault="00000000" w:rsidRPr="00000000" w14:paraId="0000002A">
      <w:pPr>
        <w:spacing w:after="240" w:before="24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O trabalho é gerido no JIRA, com tarefas organizadas como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stories e bugs. O backlog é </w:t>
      </w:r>
      <w:r w:rsidDel="00000000" w:rsidR="00000000" w:rsidRPr="00000000">
        <w:rPr>
          <w:rtl w:val="0"/>
        </w:rPr>
        <w:t xml:space="preserve">revisto</w:t>
      </w:r>
      <w:r w:rsidDel="00000000" w:rsidR="00000000" w:rsidRPr="00000000">
        <w:rPr>
          <w:rtl w:val="0"/>
        </w:rPr>
        <w:t xml:space="preserve"> semanalmente para refinar tarefas e atribuir story points. O progresso é acompanhado através de </w:t>
      </w:r>
      <w:r w:rsidDel="00000000" w:rsidR="00000000" w:rsidRPr="00000000">
        <w:rPr>
          <w:rtl w:val="0"/>
        </w:rPr>
        <w:t xml:space="preserve">burndown</w:t>
      </w:r>
      <w:r w:rsidDel="00000000" w:rsidR="00000000" w:rsidRPr="00000000">
        <w:rPr>
          <w:rtl w:val="0"/>
        </w:rPr>
        <w:t xml:space="preserve"> charts e quadros Scrum/Kanban.</w:t>
      </w:r>
    </w:p>
    <w:p w:rsidR="00000000" w:rsidDel="00000000" w:rsidP="00000000" w:rsidRDefault="00000000" w:rsidRPr="00000000" w14:paraId="0000002B">
      <w:pPr>
        <w:spacing w:after="240" w:before="24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Existe monitorização </w:t>
      </w:r>
      <w:r w:rsidDel="00000000" w:rsidR="00000000" w:rsidRPr="00000000">
        <w:rPr>
          <w:rtl w:val="0"/>
        </w:rPr>
        <w:t xml:space="preserve">proativa</w:t>
      </w:r>
      <w:r w:rsidDel="00000000" w:rsidR="00000000" w:rsidRPr="00000000">
        <w:rPr>
          <w:rtl w:val="0"/>
        </w:rPr>
        <w:t xml:space="preserve"> da cobertura de requisitos com integração JIRA–Xray, permitindo associar testes a histórias e garantir cobertura antes da conclusão.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3"/>
        </w:numPr>
        <w:ind w:left="432" w:hanging="432"/>
        <w:rPr/>
      </w:pPr>
      <w:bookmarkStart w:colFirst="0" w:colLast="0" w:name="_heading=h.z97bj520hwq8" w:id="5"/>
      <w:bookmarkEnd w:id="5"/>
      <w:r w:rsidDel="00000000" w:rsidR="00000000" w:rsidRPr="00000000">
        <w:rPr>
          <w:rtl w:val="0"/>
        </w:rPr>
        <w:t xml:space="preserve">Code quality management </w:t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s4mirhfg4jtd" w:id="6"/>
      <w:bookmarkEnd w:id="6"/>
      <w:r w:rsidDel="00000000" w:rsidR="00000000" w:rsidRPr="00000000">
        <w:rPr>
          <w:rtl w:val="0"/>
        </w:rPr>
        <w:t xml:space="preserve">Team policy for the use of generative AI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>
          <w:smallCaps w:val="0"/>
          <w:strike w:val="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uso de assistentes de IA (como o ChatGPT e o GitHub Copilot) é permitido com responsabilidade. Pode ser usado para sugerir código, refatorar, gerar testes ou esclarecer dúvidas, mas nunca para submeter código gerado sem validação humana. Novos membros devem considerar a IA como uma ferramenta de apoio, não como substituto da análise crítica e revisão de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iz1t2l86vvav" w:id="7"/>
      <w:bookmarkEnd w:id="7"/>
      <w:r w:rsidDel="00000000" w:rsidR="00000000" w:rsidRPr="00000000">
        <w:rPr>
          <w:rtl w:val="0"/>
        </w:rPr>
        <w:t xml:space="preserve">Guidelines for contributors </w:t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64" w:lineRule="auto"/>
        <w:ind w:left="1418" w:right="0" w:hanging="851"/>
        <w:jc w:val="left"/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Coding style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Adota-se o Google Java Style Guide como base. Algumas regras principais incluem: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Nomes descritivos e camelCase para variáveis e métodos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Classes e interfaces em PascalCase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 classe pública num ficheiro separado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Para mais detalhes, consultar 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Google Java Style Guide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64" w:lineRule="auto"/>
        <w:ind w:left="1418" w:right="0" w:hanging="851"/>
        <w:jc w:val="left"/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Code reviewing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Todo o código deve ser submetido via Pull Request.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Revisões são obrigatórias por, pelo menos, um membro da equipa.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Sugestões de IA podem ser usadas, mas devem ser explicadas ou comentadas no Pull Request.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Revisores devem verificar: clareza, cobertura de testes, legibilidade e aderência ao estilo de programação.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ett1xjaakhoa" w:id="8"/>
      <w:bookmarkEnd w:id="8"/>
      <w:r w:rsidDel="00000000" w:rsidR="00000000" w:rsidRPr="00000000">
        <w:rPr>
          <w:rtl w:val="0"/>
        </w:rPr>
        <w:t xml:space="preserve">Code quality metrics and dashboards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smallCaps w:val="0"/>
          <w:strike w:val="0"/>
          <w:sz w:val="21"/>
          <w:szCs w:val="21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Análise estatística com SonarQube Cloud.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Relatórios gerados automaticamente em cada push.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Quality gates </w:t>
      </w:r>
      <w:r w:rsidDel="00000000" w:rsidR="00000000" w:rsidRPr="00000000">
        <w:rPr>
          <w:rtl w:val="0"/>
        </w:rPr>
        <w:t xml:space="preserve">definidos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Cobertura de testes: &gt;80%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Nenhum code smell de gravidade alta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Nenhuma ocorrência de security hotspot breach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3"/>
        </w:numPr>
        <w:ind w:left="432" w:hanging="432"/>
        <w:rPr/>
      </w:pPr>
      <w:bookmarkStart w:colFirst="0" w:colLast="0" w:name="_heading=h.kr2m81lsaete" w:id="9"/>
      <w:bookmarkEnd w:id="9"/>
      <w:r w:rsidDel="00000000" w:rsidR="00000000" w:rsidRPr="00000000">
        <w:rPr>
          <w:rtl w:val="0"/>
        </w:rPr>
        <w:t xml:space="preserve">Continuous delivery pipeline (CI/CD)</w:t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uc07zmhn8exu" w:id="10"/>
      <w:bookmarkEnd w:id="10"/>
      <w:r w:rsidDel="00000000" w:rsidR="00000000" w:rsidRPr="00000000">
        <w:rPr>
          <w:rtl w:val="0"/>
        </w:rPr>
        <w:t xml:space="preserve">Development workflow </w:t>
      </w:r>
    </w:p>
    <w:p w:rsidR="00000000" w:rsidDel="00000000" w:rsidP="00000000" w:rsidRDefault="00000000" w:rsidRPr="00000000" w14:paraId="0000004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64" w:lineRule="auto"/>
        <w:ind w:left="1418" w:right="0" w:hanging="851"/>
        <w:jc w:val="left"/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Coding workflow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O projeto segue o modelo GitHub Flow, adequado para desenvolvimento contínuo e integração rápida. O processo é o seguinte: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programador escolhe uma user story atribuída no JIRA.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Cria uma nova branch a partir da main, nomeada segundo a tarefa.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Implementa a funcionalidade localmente e escreve os testes correspondentes.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Faz commit e push da branch para o GitHub.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Abre um Pull Request para revisão do código.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Todos os Pull Requests são obrigatoriamente revistos por outro membro da equipa. A revisão foca-se em clareza, estilo, cobertura de testes e qualidade geral (verificada pelo SonarQube). O Pull Request deve passar na pipeline CI para ser </w:t>
      </w:r>
      <w:r w:rsidDel="00000000" w:rsidR="00000000" w:rsidRPr="00000000">
        <w:rPr>
          <w:rtl w:val="0"/>
        </w:rPr>
        <w:t xml:space="preserve">aceite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64" w:lineRule="auto"/>
        <w:ind w:left="1418" w:right="0" w:hanging="851"/>
        <w:jc w:val="left"/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Definition of done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Uma tarefa é considerada concluída quando: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funcionalidade está implementada e a funcionar localmente.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Todos os testes (unitários, de integração e funcionais) passam.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cobertura de código mantém-se acima de 80% e sem security hotspot breach.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código foi revisto e aprovado.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pipeline CI no GitHub Actions terminou com sucesso.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Pull Request foi integrado na branch main.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567"/>
        <w:rPr/>
      </w:pPr>
      <w:bookmarkStart w:colFirst="0" w:colLast="0" w:name="_heading=h.1ksudygwxd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5abkxugz3zn2" w:id="12"/>
      <w:bookmarkEnd w:id="12"/>
      <w:r w:rsidDel="00000000" w:rsidR="00000000" w:rsidRPr="00000000">
        <w:rPr>
          <w:rtl w:val="0"/>
        </w:rPr>
        <w:t xml:space="preserve">CI/CD pipeline and tools</w:t>
      </w:r>
    </w:p>
    <w:p w:rsidR="00000000" w:rsidDel="00000000" w:rsidP="00000000" w:rsidRDefault="00000000" w:rsidRPr="00000000" w14:paraId="00000058">
      <w:pPr>
        <w:tabs>
          <w:tab w:val="left" w:leader="none" w:pos="713"/>
        </w:tabs>
        <w:ind w:left="576" w:firstLine="0"/>
        <w:rPr/>
      </w:pPr>
      <w:r w:rsidDel="00000000" w:rsidR="00000000" w:rsidRPr="00000000">
        <w:rPr>
          <w:rtl w:val="0"/>
        </w:rPr>
        <w:t xml:space="preserve">A integração contínua é realizada com GitHub Actions, configurado para executar automaticamente a pipeline de testes e análise de qualidade a cada push ou pull request na branch main.</w:t>
      </w:r>
    </w:p>
    <w:p w:rsidR="00000000" w:rsidDel="00000000" w:rsidP="00000000" w:rsidRDefault="00000000" w:rsidRPr="00000000" w14:paraId="00000059">
      <w:pPr>
        <w:tabs>
          <w:tab w:val="left" w:leader="none" w:pos="713"/>
        </w:tabs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Configuração da CI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O ficheiro maven.yml define as seguintes etapas: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Compilação e testes unitários com Maven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Testes de integração em Spring Boot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Cobertura de testes gerada por JaCoCo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Análise estática com SonarQube Cloud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Envio automático dos resultados de testes para o JIRA, através da API do Xray, com associação a um Test Plan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Entrega Contínua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/>
      </w:pPr>
      <w:r w:rsidDel="00000000" w:rsidR="00000000" w:rsidRPr="00000000">
        <w:rPr>
          <w:rtl w:val="0"/>
        </w:rPr>
        <w:t xml:space="preserve">Após a aprovação e merge do Pull Request, o código é integrado na branch main. A aplicação é construída como uma imagem Docker, utilizando um Dockerfile definido no projeto.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Esta automação garante entregas frequentes, testadas, documentadas e integradas com o sistema de gestão de requisitos.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bcpiuheao7vv" w:id="13"/>
      <w:bookmarkEnd w:id="13"/>
      <w:r w:rsidDel="00000000" w:rsidR="00000000" w:rsidRPr="00000000">
        <w:rPr>
          <w:rtl w:val="0"/>
        </w:rPr>
        <w:t xml:space="preserve">System observability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Para garantir o acompanhamento proativo do funcionamento do sistema, foram implementadas as seguintes práticas: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Logging estruturado com Spring Boot, </w:t>
      </w:r>
      <w:r w:rsidDel="00000000" w:rsidR="00000000" w:rsidRPr="00000000">
        <w:rPr>
          <w:rtl w:val="0"/>
        </w:rPr>
        <w:t xml:space="preserve">registando</w:t>
      </w:r>
      <w:r w:rsidDel="00000000" w:rsidR="00000000" w:rsidRPr="00000000">
        <w:rPr>
          <w:rtl w:val="0"/>
        </w:rPr>
        <w:t xml:space="preserve"> eventos como requisições HTTP, erros, e execuções de tarefas agendadas.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Em caso de falha no acesso à API externa, é registado um erro e ativado um alerta via logs.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testes automatizados na CI garantem que cada build executa corretamente os principais fluxos da aplicação.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dados de testes, cobertura e qualidade (via JaCoCo e SonarQube) são analisados continuamente para prevenir regressões.</w:t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13"/>
        </w:numPr>
        <w:ind w:left="432" w:hanging="432"/>
        <w:rPr/>
      </w:pPr>
      <w:bookmarkStart w:colFirst="0" w:colLast="0" w:name="_heading=h.oopdde8i7oig" w:id="14"/>
      <w:bookmarkEnd w:id="14"/>
      <w:r w:rsidDel="00000000" w:rsidR="00000000" w:rsidRPr="00000000">
        <w:rPr>
          <w:rtl w:val="0"/>
        </w:rPr>
        <w:t xml:space="preserve">Software testing</w:t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e3u19pl1yd10" w:id="15"/>
      <w:bookmarkEnd w:id="15"/>
      <w:r w:rsidDel="00000000" w:rsidR="00000000" w:rsidRPr="00000000">
        <w:rPr>
          <w:rtl w:val="0"/>
        </w:rPr>
        <w:t xml:space="preserve">Overall testing strategy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A estratégia de testes adotada combina várias abordagens para garantir a qualidade do sistema: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Aplicação parcial de TDD em componentes de lógica de negócio.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Uso de BDD com Cucumber para testes funcionais escritos do ponto de vista do utilizador.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Testes de API e integração com o Spring Boot Test.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Mocking com Mockito para isolar dependências.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/>
      </w:pPr>
      <w:r w:rsidDel="00000000" w:rsidR="00000000" w:rsidRPr="00000000">
        <w:rPr>
          <w:rtl w:val="0"/>
        </w:rPr>
        <w:t xml:space="preserve">Todos os testes são executados automaticamente no GitHub Actions, e os resultados são: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Avaliados na pipeline de CI para garantir que falhas impedem merge;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Recolhidos e enviados para o Xray no JIRA, permitindo rastreabilidade entre requisitos e testes;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Validados com cobertura gerada por JaCoCo, integrada ao SonarQube.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bge0xs95u1s3" w:id="16"/>
      <w:bookmarkEnd w:id="16"/>
      <w:r w:rsidDel="00000000" w:rsidR="00000000" w:rsidRPr="00000000">
        <w:rPr>
          <w:rtl w:val="0"/>
        </w:rPr>
        <w:t xml:space="preserve">Functional testing and ATDD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Os testes funcionais são escritos do ponto de vista do utilizador. A política do projeto define que: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 funcionalidade visível para o utilizador deve ter pelo menos um teste funcional associado.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Sempre que uma user story afeta o comportamento externo da aplicação, o programador deve escrever vários cenários de teste que validem os critérios de aceitação definidos no JIRA.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testes seguem a abordagem ATDD, sendo preferencialmente escritos antes da implementação da funcionalidade.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Utiliza-se Cucumber para descrever os testes em linguagem natural e o Selenium WebDriver para automatizar a execução dos cenários em ambiente real de navegador.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Estes testes são integrados na pipeline CI e os resultados são enviados para o Xray, permitindo rastrear a cobertura por requisito.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880zf1xk6g6g" w:id="17"/>
      <w:bookmarkEnd w:id="17"/>
      <w:r w:rsidDel="00000000" w:rsidR="00000000" w:rsidRPr="00000000">
        <w:rPr>
          <w:rtl w:val="0"/>
        </w:rPr>
        <w:t xml:space="preserve">Developer facing tests (unit, integration)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O projeto define uma política clara para garantir a qualidade do código através de testes orientados ao programados, focados na lógica interna e na interação entre componentes.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Testes Unitários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Devem ser implementados sempre que se introduz uma nova lógica de negócio ou se altera código existente.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objetivo é validar comportamentos individuais de métodos e classes de forma isolada.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Utiliza-se JUnit 5 em conjunto com Mockito para simular dependências e testar unidades de forma independente.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testes unitário mais relevantes abrangem: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Validação de regras de negócio (como critérios de reserva e cancelamento)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Cálculo de preços, tempos de carregamento e geração de notificações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Conversações entres objetos de domínio e DTOs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Testes de Integração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São obrigatórios para verificar a interação entre componentes da aplicação.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Utilizam Spring Boot Test, permitindo carregar o contexto da aplicação e testar com base de dados em memória.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Devem ser escritos sempre que uma funcionalidade envolve múltiplas camadas ou integração com componentes externos.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566.9291338582675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Testes de API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Considerados uma extensão dos testes de integração, validam o correto funcionamento dos endpoints REST.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São implementos com Spring MockMvc, permitindo testar as respostas HTTP, códigos de status, validação de input/output e mensagens de erro.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Garantem que a API está em conformidade com os contratos definidos e são integrados no processo de CI.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6.9291338582675" w:right="0" w:firstLine="0"/>
        <w:jc w:val="left"/>
        <w:rPr/>
      </w:pPr>
      <w:r w:rsidDel="00000000" w:rsidR="00000000" w:rsidRPr="00000000">
        <w:rPr>
          <w:rtl w:val="0"/>
        </w:rPr>
        <w:t xml:space="preserve">Todos os testes são executados automaticamente na pipeline do GitHub Actions, e os resultados são enviados para o </w:t>
      </w:r>
      <w:r w:rsidDel="00000000" w:rsidR="00000000" w:rsidRPr="00000000">
        <w:rPr>
          <w:rtl w:val="0"/>
        </w:rPr>
        <w:t xml:space="preserve">Xray</w:t>
      </w:r>
      <w:r w:rsidDel="00000000" w:rsidR="00000000" w:rsidRPr="00000000">
        <w:rPr>
          <w:rtl w:val="0"/>
        </w:rPr>
        <w:t xml:space="preserve">, garantindo cobertura e rastreabilidade por requisito.</w:t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t3m61to9lnz4" w:id="18"/>
      <w:bookmarkEnd w:id="18"/>
      <w:r w:rsidDel="00000000" w:rsidR="00000000" w:rsidRPr="00000000">
        <w:rPr>
          <w:rtl w:val="0"/>
        </w:rPr>
        <w:t xml:space="preserve">Exploratory testing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O projeto inclui sessões regulares de testes exploratórios manuais, com o objetivo de </w:t>
      </w:r>
      <w:r w:rsidDel="00000000" w:rsidR="00000000" w:rsidRPr="00000000">
        <w:rPr>
          <w:rtl w:val="0"/>
        </w:rPr>
        <w:t xml:space="preserve">detetar</w:t>
      </w:r>
      <w:r w:rsidDel="00000000" w:rsidR="00000000" w:rsidRPr="00000000">
        <w:rPr>
          <w:rtl w:val="0"/>
        </w:rPr>
        <w:t xml:space="preserve"> falhas que não são facilmente identificadas pelos testes automatizados.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A estratégia adotada consiste em: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Realização de testes sem guião pré-definido, explorando a aplicação como um utilizador final.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Utilização do Selenium WebDriver como ferramenta de apoio para gravar e reproduzir interações manuais durante as sessões exploratórias.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Sempre que um comportamento inesperado é </w:t>
      </w:r>
      <w:r w:rsidDel="00000000" w:rsidR="00000000" w:rsidRPr="00000000">
        <w:rPr>
          <w:rtl w:val="0"/>
        </w:rPr>
        <w:t xml:space="preserve">detetado</w:t>
      </w:r>
      <w:r w:rsidDel="00000000" w:rsidR="00000000" w:rsidRPr="00000000">
        <w:rPr>
          <w:rtl w:val="0"/>
        </w:rPr>
        <w:t xml:space="preserve">, o cenário pode ser transformado num teste automatizado com Selenium, facilitando a repetição e regressão futura.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defeitos ou incoerências encontrados são </w:t>
      </w:r>
      <w:r w:rsidDel="00000000" w:rsidR="00000000" w:rsidRPr="00000000">
        <w:rPr>
          <w:rtl w:val="0"/>
        </w:rPr>
        <w:t xml:space="preserve">registados</w:t>
      </w:r>
      <w:r w:rsidDel="00000000" w:rsidR="00000000" w:rsidRPr="00000000">
        <w:rPr>
          <w:rtl w:val="0"/>
        </w:rPr>
        <w:t xml:space="preserve"> no JIRA, com evidência e passos para reprodução.</w:t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13"/>
        </w:numPr>
        <w:tabs>
          <w:tab w:val="left" w:leader="none" w:pos="713"/>
        </w:tabs>
        <w:ind w:left="576" w:hanging="576"/>
        <w:rPr/>
      </w:pPr>
      <w:bookmarkStart w:colFirst="0" w:colLast="0" w:name="_heading=h.epuzrlx2c4t0" w:id="19"/>
      <w:bookmarkEnd w:id="19"/>
      <w:r w:rsidDel="00000000" w:rsidR="00000000" w:rsidRPr="00000000">
        <w:rPr>
          <w:rtl w:val="0"/>
        </w:rPr>
        <w:t xml:space="preserve">Non-function and architecture attributes testing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  <w:t xml:space="preserve">A equipa realiza testes não funcionais com foco no desempenho, acessibilidade e boas práticas da aplicação.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567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Testes de Desempenho com k6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Utilizamos a ferramenta k6 para desenvolver testes de carga HTTP, simulando cenários progressivos com múltiplos utilizadores virtuais.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testes validam os nossos Service Level Objectives, incluindo: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95% das requisições têm duração inferior a 1.1 segundos.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Menos de 1% de requisições HTTP falhadas.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comportamento do sistema é analisado com base em métricas como tempo médio/máximo de resposta, taxa de erro, e volume de tráfego.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resultados podem ser visualizados em tempo real via K6 Web Dashboard.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566.9291338582675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Auditoria de Frontend com Lighthouse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Utilizamos o Lighthouse para auditar a aplicação web quanto a: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Desempenho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Acessibilidade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Boas práticas e SEO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Esta análise é especialmente útil para identificar problemas de usabilidade e otimização de interface, desde os primeiros ciclos de desenvolvimento.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footerReference r:id="rId10" w:type="first"/>
      <w:footerReference r:id="rId11" w:type="even"/>
      <w:pgSz w:h="16838" w:w="11906" w:orient="portrait"/>
      <w:pgMar w:bottom="1134" w:top="1134" w:left="1247" w:right="1021" w:header="680" w:footer="6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ptos Light"/>
  <w:font w:name="Aptos"/>
  <w:font w:name="Aptos Narro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Aptos SemiBol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Noto Sans Light" w:cs="Noto Sans Light" w:eastAsia="Noto Sans Light" w:hAnsi="Noto Sans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Noto Sans" w:cs="Noto Sans" w:eastAsia="Noto Sans" w:hAnsi="Noto Sans"/>
        <w:b w:val="0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Open Sans SemiBold" w:cs="Open Sans SemiBold" w:eastAsia="Open Sans SemiBold" w:hAnsi="Open Sans SemiBold"/>
        <w:b w:val="0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Noto Sans Light" w:cs="Noto Sans Light" w:eastAsia="Noto Sans Light" w:hAnsi="Noto Sans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TQS Product Specs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Noto Sans Light" w:cs="Noto Sans Light" w:eastAsia="Noto Sans Light" w:hAnsi="Noto Sans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Noto Sans Light" w:cs="Noto Sans Light" w:eastAsia="Noto Sans Light" w:hAnsi="Noto Sans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ab/>
      <w:t xml:space="preserve">TQS Product Specs | </w:t>
    </w:r>
    <w:r w:rsidDel="00000000" w:rsidR="00000000" w:rsidRPr="00000000">
      <w:rPr>
        <w:rFonts w:ascii="Noto Sans Light" w:cs="Noto Sans Light" w:eastAsia="Noto Sans Light" w:hAnsi="Noto Sans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ind w:firstLine="567"/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12700</wp:posOffset>
              </wp:positionH>
              <wp:positionV relativeFrom="paragraph">
                <wp:posOffset>9575800</wp:posOffset>
              </wp:positionV>
              <wp:extent cx="6136005" cy="27622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282760" y="364665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64.0000057220459"/>
                            <w:ind w:left="567.0000076293945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ptos" w:cs="Aptos" w:eastAsia="Aptos" w:hAnsi="Aptos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1"/>
                              <w:vertAlign w:val="baseline"/>
                            </w:rPr>
                            <w:t xml:space="preserve">© Copyright IBM Corp. 2016. All rights reserved.	 PAGE \* MERGEFORMAT 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12700</wp:posOffset>
              </wp:positionH>
              <wp:positionV relativeFrom="paragraph">
                <wp:posOffset>9575800</wp:posOffset>
              </wp:positionV>
              <wp:extent cx="6136005" cy="276225"/>
              <wp:effectExtent b="0" l="0" r="0" t="0"/>
              <wp:wrapNone/>
              <wp:docPr id="3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36005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643.0" w:type="dxa"/>
      <w:jc w:val="left"/>
      <w:tblInd w:w="-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198"/>
      <w:gridCol w:w="2171"/>
      <w:gridCol w:w="3274"/>
      <w:tblGridChange w:id="0">
        <w:tblGrid>
          <w:gridCol w:w="4198"/>
          <w:gridCol w:w="2171"/>
          <w:gridCol w:w="3274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B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120" w:line="264" w:lineRule="auto"/>
            <w:ind w:left="0" w:right="0" w:firstLine="0"/>
            <w:jc w:val="left"/>
            <w:rPr>
              <w:rFonts w:ascii="Aptos Light" w:cs="Aptos Light" w:eastAsia="Aptos Light" w:hAnsi="Aptos Light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ptos Light" w:cs="Aptos Light" w:eastAsia="Aptos Light" w:hAnsi="Aptos Light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45426 Teste e Qualidade de Software</w:t>
          </w:r>
        </w:p>
      </w:tc>
      <w:tc>
        <w:tcPr/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567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567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  <w:drawing>
              <wp:inline distB="0" distT="0" distL="0" distR="0">
                <wp:extent cx="1591887" cy="296325"/>
                <wp:effectExtent b="0" l="0" r="0" t="0"/>
                <wp:docPr descr="deti4" id="4" name="image2.png"/>
                <a:graphic>
                  <a:graphicData uri="http://schemas.openxmlformats.org/drawingml/2006/picture">
                    <pic:pic>
                      <pic:nvPicPr>
                        <pic:cNvPr descr="deti4"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567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1"/>
        <w:szCs w:val="21"/>
        <w:lang w:val="en"/>
      </w:rPr>
    </w:rPrDefault>
    <w:pPrDefault>
      <w:pPr>
        <w:spacing w:line="264" w:lineRule="auto"/>
        <w:ind w:left="56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="320" w:lineRule="auto"/>
      <w:ind w:left="432" w:right="567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13"/>
      </w:tabs>
      <w:spacing w:after="240" w:before="480" w:line="290" w:lineRule="auto"/>
      <w:ind w:left="576" w:right="567" w:hanging="576"/>
    </w:pPr>
    <w:rPr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713"/>
      </w:tabs>
      <w:spacing w:after="240" w:before="480" w:line="290" w:lineRule="auto"/>
      <w:ind w:left="576" w:right="567" w:hanging="576"/>
    </w:pPr>
    <w:rPr>
      <w:b w:val="0"/>
      <w:color w:val="595959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Arial" w:cs="Arial" w:eastAsia="Arial" w:hAnsi="Arial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Arial" w:cs="Arial" w:eastAsia="Arial" w:hAnsi="Arial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Arial" w:cs="Arial" w:eastAsia="Arial" w:hAnsi="Arial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1200" w:line="320" w:lineRule="auto"/>
      <w:ind w:left="432" w:right="567" w:hanging="432"/>
      <w:jc w:val="both"/>
    </w:pPr>
    <w:rPr>
      <w:rFonts w:ascii="Aptos SemiBold" w:cs="Aptos SemiBold" w:eastAsia="Aptos SemiBold" w:hAnsi="Aptos SemiBold"/>
      <w:b w:val="1"/>
      <w:sz w:val="44"/>
      <w:szCs w:val="44"/>
    </w:rPr>
  </w:style>
  <w:style w:type="paragraph" w:styleId="Normal" w:default="1">
    <w:name w:val="Normal"/>
    <w:qFormat w:val="1"/>
    <w:rsid w:val="007B2483"/>
    <w:pPr>
      <w:widowControl w:val="1"/>
      <w:spacing w:line="264" w:lineRule="auto"/>
      <w:ind w:left="567"/>
      <w:contextualSpacing w:val="1"/>
    </w:pPr>
    <w:rPr>
      <w:rFonts w:ascii="Aptos" w:cs="Noto Sans" w:eastAsia="Arial" w:hAnsi="Aptos"/>
      <w:color w:val="000000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10475B"/>
    <w:pPr>
      <w:keepNext w:val="1"/>
      <w:keepLines w:val="1"/>
      <w:numPr>
        <w:numId w:val="36"/>
      </w:numPr>
      <w:suppressAutoHyphens w:val="1"/>
      <w:spacing w:after="240" w:before="480" w:line="320" w:lineRule="exact"/>
      <w:ind w:right="567"/>
      <w:contextualSpacing w:val="0"/>
      <w:outlineLvl w:val="0"/>
    </w:pPr>
    <w:rPr>
      <w:b w:val="1"/>
      <w:bCs w:val="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0475B"/>
    <w:pPr>
      <w:keepNext w:val="1"/>
      <w:keepLines w:val="1"/>
      <w:numPr>
        <w:ilvl w:val="1"/>
        <w:numId w:val="36"/>
      </w:numPr>
      <w:tabs>
        <w:tab w:val="left" w:pos="713"/>
      </w:tabs>
      <w:suppressAutoHyphens w:val="1"/>
      <w:spacing w:after="240" w:before="480" w:line="290" w:lineRule="exact"/>
      <w:ind w:right="567"/>
      <w:contextualSpacing w:val="0"/>
      <w:outlineLvl w:val="1"/>
    </w:pPr>
    <w:rPr>
      <w:b w:val="1"/>
      <w:bCs w:val="1"/>
      <w:sz w:val="22"/>
      <w:szCs w:val="22"/>
    </w:rPr>
  </w:style>
  <w:style w:type="paragraph" w:styleId="Heading3">
    <w:name w:val="heading 3"/>
    <w:basedOn w:val="Heading2"/>
    <w:next w:val="Normal"/>
    <w:link w:val="Heading3Char"/>
    <w:unhideWhenUsed w:val="1"/>
    <w:qFormat w:val="1"/>
    <w:rsid w:val="00424484"/>
    <w:pPr>
      <w:numPr>
        <w:ilvl w:val="2"/>
      </w:numPr>
      <w:outlineLvl w:val="2"/>
    </w:pPr>
    <w:rPr>
      <w:b w:val="0"/>
      <w:color w:val="595959" w:themeColor="text1" w:themeTint="0000A6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761F40"/>
    <w:pPr>
      <w:keepNext w:val="1"/>
      <w:keepLines w:val="1"/>
      <w:numPr>
        <w:ilvl w:val="3"/>
        <w:numId w:val="36"/>
      </w:numPr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761F40"/>
    <w:pPr>
      <w:keepNext w:val="1"/>
      <w:keepLines w:val="1"/>
      <w:numPr>
        <w:ilvl w:val="4"/>
        <w:numId w:val="36"/>
      </w:numPr>
      <w:spacing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unhideWhenUsed w:val="1"/>
    <w:qFormat w:val="1"/>
    <w:rsid w:val="00761F40"/>
    <w:pPr>
      <w:keepNext w:val="1"/>
      <w:keepLines w:val="1"/>
      <w:numPr>
        <w:ilvl w:val="5"/>
        <w:numId w:val="36"/>
      </w:numPr>
      <w:spacing w:before="40"/>
      <w:outlineLvl w:val="5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761F40"/>
    <w:pPr>
      <w:keepNext w:val="1"/>
      <w:keepLines w:val="1"/>
      <w:numPr>
        <w:ilvl w:val="6"/>
        <w:numId w:val="36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761F40"/>
    <w:pPr>
      <w:keepNext w:val="1"/>
      <w:keepLines w:val="1"/>
      <w:numPr>
        <w:ilvl w:val="7"/>
        <w:numId w:val="36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761F40"/>
    <w:pPr>
      <w:keepNext w:val="1"/>
      <w:keepLines w:val="1"/>
      <w:numPr>
        <w:ilvl w:val="8"/>
        <w:numId w:val="36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0475B"/>
    <w:rPr>
      <w:rFonts w:ascii="Aptos" w:cs="Noto Sans" w:eastAsia="Arial" w:hAnsi="Aptos"/>
      <w:b w:val="1"/>
      <w:bCs w:val="1"/>
      <w:color w:val="00000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10475B"/>
    <w:rPr>
      <w:rFonts w:ascii="Aptos" w:cs="Noto Sans" w:eastAsia="Arial" w:hAnsi="Aptos"/>
      <w:b w:val="1"/>
      <w:bCs w:val="1"/>
      <w:color w:val="000000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rsid w:val="00424484"/>
    <w:rPr>
      <w:rFonts w:ascii="Arial Nova Cond" w:cs="Noto Sans" w:eastAsia="Arial" w:hAnsi="Arial Nova Cond"/>
      <w:bCs w:val="1"/>
      <w:color w:val="595959" w:themeColor="text1" w:themeTint="0000A6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61F40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0"/>
      <w:szCs w:val="18"/>
      <w:lang w:val="pt-PT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61F40"/>
    <w:rPr>
      <w:rFonts w:asciiTheme="majorHAnsi" w:cstheme="majorBidi" w:eastAsiaTheme="majorEastAsia" w:hAnsiTheme="majorHAnsi"/>
      <w:color w:val="2e74b5" w:themeColor="accent1" w:themeShade="0000BF"/>
      <w:sz w:val="20"/>
      <w:szCs w:val="18"/>
      <w:lang w:val="pt-PT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61F40"/>
    <w:rPr>
      <w:rFonts w:asciiTheme="majorHAnsi" w:cstheme="majorBidi" w:eastAsiaTheme="majorEastAsia" w:hAnsiTheme="majorHAnsi"/>
      <w:color w:val="1f4d78" w:themeColor="accent1" w:themeShade="00007F"/>
      <w:sz w:val="20"/>
      <w:szCs w:val="18"/>
      <w:lang w:val="pt-PT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61F40"/>
    <w:rPr>
      <w:rFonts w:asciiTheme="majorHAnsi" w:cstheme="majorBidi" w:eastAsiaTheme="majorEastAsia" w:hAnsiTheme="majorHAnsi"/>
      <w:i w:val="1"/>
      <w:iCs w:val="1"/>
      <w:color w:val="1f4d78" w:themeColor="accent1" w:themeShade="00007F"/>
      <w:sz w:val="20"/>
      <w:szCs w:val="18"/>
      <w:lang w:val="pt-PT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61F40"/>
    <w:rPr>
      <w:rFonts w:asciiTheme="majorHAnsi" w:cstheme="majorBidi" w:eastAsiaTheme="majorEastAsia" w:hAnsiTheme="majorHAnsi"/>
      <w:color w:val="272727" w:themeColor="text1" w:themeTint="0000D8"/>
      <w:sz w:val="21"/>
      <w:szCs w:val="21"/>
      <w:lang w:val="pt-PT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61F40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 w:val="1"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 w:val="1"/>
    <w:rsid w:val="00214D1D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14D1D"/>
    <w:rPr>
      <w:rFonts w:ascii="Arial" w:cs="Arial" w:eastAsia="Arial" w:hAnsi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 w:val="1"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cs="Open Sans Light" w:hAnsi="Noto Sans Light" w:eastAsiaTheme="minorEastAsia"/>
      <w:caps w:val="1"/>
      <w:color w:val="auto"/>
      <w:sz w:val="18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rsid w:val="00EA4F7E"/>
    <w:rPr>
      <w:rFonts w:ascii="Noto Sans Light" w:cs="Open Sans Light" w:hAnsi="Noto Sans Light" w:eastAsiaTheme="minorEastAsia"/>
      <w:caps w:val="1"/>
      <w:sz w:val="18"/>
      <w:szCs w:val="18"/>
      <w:lang w:bidi="ar-SA" w:val="pt-PT"/>
    </w:rPr>
  </w:style>
  <w:style w:type="character" w:styleId="PlaceholderText">
    <w:name w:val="Placeholder Text"/>
    <w:basedOn w:val="DefaultParagraphFont"/>
    <w:uiPriority w:val="99"/>
    <w:semiHidden w:val="1"/>
    <w:rsid w:val="00761F40"/>
    <w:rPr>
      <w:color w:val="808080"/>
    </w:rPr>
  </w:style>
  <w:style w:type="character" w:styleId="pagenr" w:customStyle="1">
    <w:name w:val="page_nr"/>
    <w:basedOn w:val="DefaultParagraphFont"/>
    <w:uiPriority w:val="1"/>
    <w:rsid w:val="00171B11"/>
    <w:rPr>
      <w:rFonts w:ascii="Open Sans SemiBold" w:cs="Open Sans SemiBold" w:hAnsi="Open Sans SemiBold"/>
      <w:sz w:val="20"/>
      <w:szCs w:val="20"/>
    </w:rPr>
  </w:style>
  <w:style w:type="paragraph" w:styleId="FooterR" w:customStyle="1">
    <w:name w:val="Footer_R"/>
    <w:basedOn w:val="Footer"/>
    <w:rsid w:val="00EA4F7E"/>
    <w:pPr>
      <w:jc w:val="right"/>
    </w:pPr>
  </w:style>
  <w:style w:type="paragraph" w:styleId="headinginner" w:customStyle="1">
    <w:name w:val="heading_inner"/>
    <w:basedOn w:val="Normal"/>
    <w:next w:val="Normal"/>
    <w:qFormat w:val="1"/>
    <w:rsid w:val="003332FD"/>
    <w:pPr>
      <w:keepNext w:val="1"/>
      <w:keepLines w:val="1"/>
      <w:spacing w:before="240"/>
      <w:ind w:left="1418" w:hanging="851"/>
    </w:pPr>
    <w:rPr>
      <w:rFonts w:ascii="Aptos Narrow" w:hAnsi="Aptos Narrow"/>
      <w:b w:val="1"/>
      <w:bCs w:val="1"/>
      <w:lang w:val="en"/>
    </w:rPr>
  </w:style>
  <w:style w:type="character" w:styleId="Hyperlink">
    <w:name w:val="Hyperlink"/>
    <w:basedOn w:val="DefaultParagraphFont"/>
    <w:uiPriority w:val="99"/>
    <w:unhideWhenUsed w:val="1"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 w:val="1"/>
    <w:rsid w:val="0010475B"/>
    <w:pPr>
      <w:numPr>
        <w:numId w:val="0"/>
      </w:numPr>
      <w:spacing w:before="1200"/>
      <w:jc w:val="both"/>
    </w:pPr>
    <w:rPr>
      <w:rFonts w:ascii="Aptos SemiBold" w:hAnsi="Aptos SemiBold"/>
      <w:sz w:val="44"/>
      <w:szCs w:val="44"/>
      <w:lang w:val="pt-PT"/>
    </w:rPr>
  </w:style>
  <w:style w:type="character" w:styleId="TitleChar" w:customStyle="1">
    <w:name w:val="Title Char"/>
    <w:basedOn w:val="DefaultParagraphFont"/>
    <w:link w:val="Title"/>
    <w:uiPriority w:val="10"/>
    <w:rsid w:val="0010475B"/>
    <w:rPr>
      <w:rFonts w:ascii="Aptos SemiBold" w:cs="Noto Sans" w:eastAsia="Arial" w:hAnsi="Aptos SemiBold"/>
      <w:b w:val="1"/>
      <w:bCs w:val="1"/>
      <w:color w:val="000000"/>
      <w:sz w:val="44"/>
      <w:szCs w:val="44"/>
      <w:lang w:val="pt-PT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4E758C"/>
    <w:pPr>
      <w:tabs>
        <w:tab w:val="right" w:leader="dot" w:pos="9742"/>
      </w:tabs>
      <w:spacing w:before="240" w:line="240" w:lineRule="auto"/>
      <w:ind w:left="142"/>
    </w:pPr>
    <w:rPr>
      <w:rFonts w:cs="Linux Libertine" w:eastAsiaTheme="minorEastAsia"/>
      <w:b w:val="1"/>
      <w:bCs w:val="1"/>
      <w:noProof w:val="1"/>
      <w:color w:val="auto"/>
      <w:lang w:eastAsia="pt-PT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6A2CE8"/>
    <w:pPr>
      <w:tabs>
        <w:tab w:val="left" w:pos="1134"/>
        <w:tab w:val="right" w:leader="dot" w:pos="9742"/>
      </w:tabs>
      <w:spacing w:line="240" w:lineRule="auto"/>
      <w:jc w:val="both"/>
    </w:pPr>
    <w:rPr>
      <w:rFonts w:cs="Linux Libertine" w:eastAsiaTheme="minorEastAsia"/>
      <w:noProof w:val="1"/>
      <w:color w:val="auto"/>
      <w:lang w:eastAsia="pt-PT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6227F7"/>
    <w:pPr>
      <w:tabs>
        <w:tab w:val="right" w:pos="9638"/>
      </w:tabs>
      <w:spacing w:after="100"/>
      <w:ind w:firstLine="426"/>
    </w:pPr>
  </w:style>
  <w:style w:type="paragraph" w:styleId="Heading2withbreak" w:customStyle="1">
    <w:name w:val="Heading_2_with_break"/>
    <w:basedOn w:val="Heading2"/>
    <w:rsid w:val="00D41DD9"/>
    <w:pPr>
      <w:pageBreakBefore w:val="1"/>
      <w:ind w:left="578" w:hanging="578"/>
    </w:pPr>
  </w:style>
  <w:style w:type="paragraph" w:styleId="Author" w:customStyle="1">
    <w:name w:val="Author"/>
    <w:basedOn w:val="Normal"/>
    <w:rsid w:val="0045322F"/>
    <w:pPr>
      <w:spacing w:before="120"/>
      <w:ind w:left="0"/>
    </w:pPr>
    <w:rPr>
      <w:rFonts w:ascii="Aptos Light" w:hAnsi="Aptos Light"/>
      <w:i w:val="1"/>
      <w:iCs w:val="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cstheme="majorBidi" w:eastAsiaTheme="majorEastAsia" w:hAnsiTheme="majorHAnsi"/>
      <w:b w:val="0"/>
      <w:color w:val="2e74b5" w:themeColor="accent1" w:themeShade="0000BF"/>
      <w:lang w:bidi="ar-SA" w:eastAsia="pt-PT"/>
    </w:rPr>
  </w:style>
  <w:style w:type="paragraph" w:styleId="Code" w:customStyle="1">
    <w:name w:val="Code"/>
    <w:basedOn w:val="Normal"/>
    <w:qFormat w:val="1"/>
    <w:rsid w:val="00843A08"/>
    <w:pPr>
      <w:spacing w:after="120" w:before="6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84019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66ADC"/>
    <w:pPr>
      <w:spacing w:line="240" w:lineRule="auto"/>
    </w:pPr>
    <w:rPr>
      <w:rFonts w:ascii="Segoe UI" w:cs="Segoe UI" w:hAnsi="Segoe UI"/>
      <w:sz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66ADC"/>
    <w:rPr>
      <w:rFonts w:ascii="Segoe UI" w:cs="Segoe UI" w:eastAsia="Arial" w:hAnsi="Segoe UI"/>
      <w:color w:val="000000"/>
      <w:sz w:val="18"/>
      <w:szCs w:val="18"/>
      <w:lang w:val="pt-PT"/>
    </w:rPr>
  </w:style>
  <w:style w:type="paragraph" w:styleId="codeindent" w:customStyle="1">
    <w:name w:val="code_indent"/>
    <w:basedOn w:val="Code"/>
    <w:qFormat w:val="1"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cs="Courier New" w:eastAsia="Times New Roman" w:hAnsi="Courier New"/>
      <w:color w:val="auto"/>
      <w:szCs w:val="20"/>
      <w:lang w:bidi="ar-SA" w:eastAsia="pt-PT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A319AE"/>
    <w:rPr>
      <w:rFonts w:ascii="Courier New" w:cs="Courier New" w:hAnsi="Courier New"/>
      <w:sz w:val="20"/>
      <w:szCs w:val="20"/>
      <w:lang w:bidi="ar-SA" w:eastAsia="pt-PT" w:val="pt-PT"/>
    </w:rPr>
  </w:style>
  <w:style w:type="paragraph" w:styleId="normalindent" w:customStyle="1">
    <w:name w:val="normal_indent"/>
    <w:basedOn w:val="Normal"/>
    <w:qFormat w:val="1"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qFormat w:val="1"/>
    <w:rsid w:val="006D1729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96730A"/>
    <w:rPr>
      <w:i w:val="1"/>
      <w:iCs w:val="1"/>
    </w:rPr>
  </w:style>
  <w:style w:type="paragraph" w:styleId="instructionsinline" w:customStyle="1">
    <w:name w:val="instructions_inline"/>
    <w:basedOn w:val="Normal"/>
    <w:next w:val="Normal"/>
    <w:qFormat w:val="1"/>
    <w:rsid w:val="00AE3930"/>
    <w:rPr>
      <w:color w:val="7030a0"/>
      <w:lang w:val="en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3116B0"/>
    <w:rPr>
      <w:rFonts w:ascii="Courier New" w:cs="Courier New" w:eastAsia="Times New Roman" w:hAnsi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CF3176"/>
    <w:pPr>
      <w:spacing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CF3176"/>
    <w:rPr>
      <w:rFonts w:ascii="Arial Nova" w:cs="Noto Sans" w:eastAsia="Arial" w:hAnsi="Arial Nova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C82B44"/>
    <w:pPr>
      <w:spacing w:after="200" w:line="240" w:lineRule="auto"/>
    </w:pPr>
    <w:rPr>
      <w:i w:val="1"/>
      <w:iCs w:val="1"/>
      <w:color w:val="44546a" w:themeColor="text2"/>
      <w:sz w:val="18"/>
    </w:rPr>
  </w:style>
  <w:style w:type="paragraph" w:styleId="tableinside" w:customStyle="1">
    <w:name w:val="table_inside"/>
    <w:basedOn w:val="Normal"/>
    <w:qFormat w:val="1"/>
    <w:rsid w:val="0097411E"/>
    <w:pPr>
      <w:ind w:left="0"/>
    </w:pPr>
  </w:style>
  <w:style w:type="paragraph" w:styleId="tableheader" w:customStyle="1">
    <w:name w:val="table_header"/>
    <w:basedOn w:val="tableinside"/>
    <w:next w:val="tableinside"/>
    <w:qFormat w:val="1"/>
    <w:rsid w:val="0097411E"/>
    <w:pPr>
      <w:keepNext w:val="1"/>
      <w:keepLines w:val="1"/>
      <w:spacing w:line="240" w:lineRule="auto"/>
    </w:pPr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C57665"/>
    <w:pPr>
      <w:spacing w:after="100" w:afterAutospacing="1" w:before="100" w:beforeAutospacing="1" w:line="240" w:lineRule="auto"/>
      <w:ind w:left="0"/>
      <w:contextualSpacing w:val="0"/>
    </w:pPr>
    <w:rPr>
      <w:rFonts w:ascii="Times New Roman" w:cs="Times New Roman" w:eastAsia="Times New Roman" w:hAnsi="Times New Roman"/>
      <w:color w:val="auto"/>
      <w:sz w:val="24"/>
      <w:szCs w:val="24"/>
      <w:lang w:bidi="ar-SA" w:eastAsia="pt-PT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E04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0E04F0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E04F0"/>
    <w:rPr>
      <w:rFonts w:cs="Noto Sans" w:eastAsia="Arial" w:asciiTheme="minorHAnsi" w:hAnsiTheme="minorHAnsi"/>
      <w:color w:val="000000"/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E04F0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E04F0"/>
    <w:rPr>
      <w:rFonts w:cs="Noto Sans" w:eastAsia="Arial" w:asciiTheme="minorHAnsi" w:hAnsiTheme="minorHAnsi"/>
      <w:b w:val="1"/>
      <w:bCs w:val="1"/>
      <w:color w:val="000000"/>
      <w:sz w:val="20"/>
      <w:szCs w:val="20"/>
      <w:lang w:val="pt-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oogle.github.io/styleguide/javaguide.html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1" Type="http://schemas.openxmlformats.org/officeDocument/2006/relationships/font" Target="fonts/NotoSansLight-italic.ttf"/><Relationship Id="rId10" Type="http://schemas.openxmlformats.org/officeDocument/2006/relationships/font" Target="fonts/NotoSansLight-bold.ttf"/><Relationship Id="rId12" Type="http://schemas.openxmlformats.org/officeDocument/2006/relationships/font" Target="fonts/NotoSansLight-boldItalic.ttf"/><Relationship Id="rId9" Type="http://schemas.openxmlformats.org/officeDocument/2006/relationships/font" Target="fonts/NotoSansLight-regular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0J9VNivTIpwf+oLhD/nTNPg2XQ==">CgMxLjAyDmguam9scmZqMWJsaDg1Mg5oLmNqb3N4Ym5jY2dpcTIOaC5lbms5MXFjZGUwZW4yDmgucXVwazJyNDBwZmxtMg5oLmh4am9kYzRra3RobjIOaC56OTdiajUyMGh3cTgyDmguczRtaXJoZmc0anRkMg5oLml6MXQybDg2dnZhdjIOaC5ldHQxeGphYWtob2EyDmgua3IybTgxbHNhZXRlMg5oLnVjMDd6bWhuOGV4dTINaC4xa3N1ZHlnd3hkeTIOaC41YWJreHVnejN6bjIyDmguYmNwaXVoZWFvN3Z2Mg5oLm9vcGRkZThpN29pZzIOaC5lM3UxOXBsMXlkMTAyDmguYmdlMHhzOTV1MXMzMg5oLjg4MHpmMXhrNmc2ZzIOaC50M202MXRvOWxuejQyDmguZXB1enJseDJjNHQwOAByITE0b1FTeGY3RllrNzM5MVdqaTY2SGI4ZG1wN0hXYTly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2020-05-03T22:17:00Z</dcterms:created>
  <dc:creator>ico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