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Fiche de révision - Image 2</w:t>
      </w:r>
    </w:p>
    <w:p>
      <w:pPr>
        <w:pStyle w:val="Subtitle"/>
      </w:pPr>
      <w:r>
        <w:t>Suite de Ficciones y realidad, puis Mundo mejor</w:t>
      </w:r>
    </w:p>
    <w:tbl>
      <w:tblPr>
        <w:tblStyle w:val="TableGrid"/>
        <w:tblW w:w="9360" w:type="dxa"/>
        <w:tblLayout w:type="fixed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  <w:tblCellMar>
          <w:top w:w="120" w:type="dxa"/>
          <w:bottom w:w="120" w:type="dxa"/>
          <w:start w:w="160" w:type="dxa"/>
          <w:end w:w="160" w:type="dxa"/>
        </w:tblCellMar>
      </w:tblPr>
      <w:tblGrid>
        <w:gridCol w:w="3550"/>
        <w:gridCol w:w="5810"/>
      </w:tblGrid>
      <w:tr>
        <w:trPr>
          <w:cantSplit/>
        </w:trPr>
        <w:tc>
          <w:tcPr>
            <w:tcW w:w="9360" w:type="dxa"/>
            <w:gridSpan w:val="2"/>
            <w:tcMar>
              <w:top w:w="120" w:type="dxa"/>
              <w:bottom w:w="120" w:type="dxa"/>
              <w:start w:w="160" w:type="dxa"/>
              <w:end w:w="160" w:type="dxa"/>
            </w:tcMar>
            <w:shd w:fill="F1F3F4"/>
            <w:vAlign w:val="center"/>
          </w:tcPr>
          <w:p>
            <w:pPr>
              <w:spacing w:after="40" w:line="276" w:lineRule="auto"/>
            </w:pPr>
            <w:r>
              <w:rPr>
                <w:b/>
              </w:rPr>
              <w:t>3. Ficciones y realidad (+ territorio y memoria)</w:t>
            </w:r>
          </w:p>
        </w:tc>
      </w:tr>
      <w:tr>
        <w:trPr>
          <w:cantSplit/>
        </w:trPr>
        <w:tc>
          <w:tcPr>
            <w:tcW w:w="3550" w:type="dxa"/>
            <w:tcMar>
              <w:top w:w="120" w:type="dxa"/>
              <w:bottom w:w="120" w:type="dxa"/>
              <w:start w:w="160" w:type="dxa"/>
              <w:end w:w="160" w:type="dxa"/>
            </w:tcMar>
            <w:shd w:fill="F8F9FA"/>
            <w:vAlign w:val="center"/>
          </w:tcPr>
          <w:p>
            <w:pPr>
              <w:spacing w:after="40" w:line="276" w:lineRule="auto"/>
            </w:pPr>
            <w:r>
              <w:rPr>
                <w:b/>
              </w:rPr>
              <w:t>Vocabulaire essentiel</w:t>
            </w:r>
          </w:p>
        </w:tc>
        <w:tc>
          <w:tcPr>
            <w:tcW w:w="5810" w:type="dxa"/>
            <w:tcMar>
              <w:top w:w="120" w:type="dxa"/>
              <w:bottom w:w="120" w:type="dxa"/>
              <w:start w:w="160" w:type="dxa"/>
              <w:end w:w="160" w:type="dxa"/>
            </w:tcMar>
            <w:shd w:fill="F8F9FA"/>
            <w:vAlign w:val="center"/>
          </w:tcPr>
          <w:p>
            <w:pPr>
              <w:spacing w:after="40" w:line="276" w:lineRule="auto"/>
            </w:pPr>
            <w:r>
              <w:rPr>
                <w:b/>
              </w:rPr>
              <w:t>Temps et formes grammaticales</w:t>
            </w:r>
          </w:p>
        </w:tc>
      </w:tr>
      <w:tr>
        <w:trPr>
          <w:cantSplit/>
        </w:trPr>
        <w:tc>
          <w:tcPr>
            <w:tcW w:w="3550" w:type="dxa"/>
            <w:tcMar>
              <w:top w:w="120" w:type="dxa"/>
              <w:bottom w:w="120" w:type="dxa"/>
              <w:start w:w="160" w:type="dxa"/>
              <w:end w:w="160" w:type="dxa"/>
            </w:tcMar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after="80" w:line="276" w:lineRule="auto"/>
            </w:pPr>
            <w:r>
              <w:t>ficción / realidad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 w:line="276" w:lineRule="auto"/>
            </w:pPr>
            <w:r>
              <w:t>la mirada, el punto de vista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 w:line="276" w:lineRule="auto"/>
            </w:pPr>
            <w:r>
              <w:t>la memoria, el territorio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 w:line="276" w:lineRule="auto"/>
            </w:pPr>
            <w:r>
              <w:t>la violencia machista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 w:line="276" w:lineRule="auto"/>
            </w:pPr>
            <w:r>
              <w:t>la denuncia, la justicia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 w:line="276" w:lineRule="auto"/>
            </w:pPr>
            <w:r>
              <w:t>la igualdad / la desigualdad</w:t>
            </w:r>
          </w:p>
        </w:tc>
        <w:tc>
          <w:tcPr>
            <w:tcW w:w="5810" w:type="dxa"/>
            <w:tcMar>
              <w:top w:w="120" w:type="dxa"/>
              <w:bottom w:w="120" w:type="dxa"/>
              <w:start w:w="160" w:type="dxa"/>
              <w:end w:w="160" w:type="dxa"/>
            </w:tcMar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after="80" w:line="276" w:lineRule="auto"/>
            </w:pPr>
            <w:r>
              <w:t>pretérito indefinido e imperfecto para relatar y contextualizar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 w:line="276" w:lineRule="auto"/>
            </w:pPr>
            <w:r>
              <w:t>presente para describir y comentar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 w:line="276" w:lineRule="auto"/>
            </w:pPr>
            <w:r>
              <w:t>conectores: porque, sin embargo, por eso, aunque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 w:line="276" w:lineRule="auto"/>
            </w:pPr>
            <w:r>
              <w:t>expresar obligación o necesidad: hay que, tener que, deber</w:t>
            </w:r>
          </w:p>
        </w:tc>
      </w:tr>
      <w:tr>
        <w:trPr>
          <w:cantSplit/>
        </w:trPr>
        <w:tc>
          <w:tcPr>
            <w:tcW w:w="3550" w:type="dxa"/>
            <w:tcMar>
              <w:top w:w="120" w:type="dxa"/>
              <w:bottom w:w="120" w:type="dxa"/>
              <w:start w:w="160" w:type="dxa"/>
              <w:end w:w="160" w:type="dxa"/>
            </w:tcMar>
            <w:shd w:fill="F8F9FA"/>
            <w:vAlign w:val="center"/>
          </w:tcPr>
          <w:p>
            <w:pPr>
              <w:spacing w:after="40" w:line="276" w:lineRule="auto"/>
            </w:pPr>
            <w:r>
              <w:rPr>
                <w:b/>
              </w:rPr>
              <w:t>Document / support</w:t>
            </w:r>
          </w:p>
        </w:tc>
        <w:tc>
          <w:tcPr>
            <w:tcW w:w="5810" w:type="dxa"/>
            <w:tcMar>
              <w:top w:w="120" w:type="dxa"/>
              <w:bottom w:w="120" w:type="dxa"/>
              <w:start w:w="160" w:type="dxa"/>
              <w:end w:w="160" w:type="dxa"/>
            </w:tcMar>
            <w:shd w:fill="F8F9FA"/>
            <w:vAlign w:val="center"/>
          </w:tcPr>
          <w:p>
            <w:pPr>
              <w:spacing w:after="40" w:line="276" w:lineRule="auto"/>
            </w:pPr>
            <w:r>
              <w:rPr>
                <w:b/>
              </w:rPr>
              <w:t>Aspects de l’axe traités</w:t>
            </w:r>
          </w:p>
        </w:tc>
      </w:tr>
      <w:tr>
        <w:trPr>
          <w:cantSplit/>
        </w:trPr>
        <w:tc>
          <w:tcPr>
            <w:tcW w:w="3550" w:type="dxa"/>
            <w:tcMar>
              <w:top w:w="120" w:type="dxa"/>
              <w:bottom w:w="120" w:type="dxa"/>
              <w:start w:w="160" w:type="dxa"/>
              <w:end w:w="16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b/>
              </w:rPr>
              <w:t>la serie: La otra mirada (fragmento con Roberta)</w:t>
            </w:r>
          </w:p>
        </w:tc>
        <w:tc>
          <w:tcPr>
            <w:tcW w:w="5810" w:type="dxa"/>
            <w:tcMar>
              <w:top w:w="120" w:type="dxa"/>
              <w:bottom w:w="120" w:type="dxa"/>
              <w:start w:w="160" w:type="dxa"/>
              <w:end w:w="160" w:type="dxa"/>
            </w:tcMar>
            <w:vAlign w:val="center"/>
          </w:tcPr>
          <w:p>
            <w:pPr>
              <w:spacing w:after="40" w:line="276" w:lineRule="auto"/>
            </w:pPr>
            <w:r>
              <w:t>Relación entre ficción y realidad; representación de una sociedad y de la condición de las mujeres; memoria de un territorio o de una época; mirada crítica.</w:t>
            </w:r>
          </w:p>
        </w:tc>
      </w:tr>
      <w:tr>
        <w:trPr>
          <w:cantSplit/>
        </w:trPr>
        <w:tc>
          <w:tcPr>
            <w:tcW w:w="3550" w:type="dxa"/>
            <w:tcMar>
              <w:top w:w="120" w:type="dxa"/>
              <w:bottom w:w="120" w:type="dxa"/>
              <w:start w:w="160" w:type="dxa"/>
              <w:end w:w="16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b/>
              </w:rPr>
              <w:t>Pamplona (2016): violencia machista</w:t>
            </w:r>
          </w:p>
        </w:tc>
        <w:tc>
          <w:tcPr>
            <w:tcW w:w="5810" w:type="dxa"/>
            <w:tcMar>
              <w:top w:w="120" w:type="dxa"/>
              <w:bottom w:w="120" w:type="dxa"/>
              <w:start w:w="160" w:type="dxa"/>
              <w:end w:w="160" w:type="dxa"/>
            </w:tcMar>
            <w:vAlign w:val="center"/>
          </w:tcPr>
          <w:p>
            <w:pPr>
              <w:spacing w:after="40" w:line="276" w:lineRule="auto"/>
            </w:pPr>
            <w:r>
              <w:t>Hecho real vinculado a la violencia machista; denuncia social; justicia, memoria colectiva y evolución de las mentalidades.</w:t>
            </w:r>
          </w:p>
        </w:tc>
      </w:tr>
    </w:tbl>
    <w:p>
      <w:pPr>
        <w:spacing w:after="220" w:line="276" w:lineRule="auto"/>
      </w:pPr>
      <w:r>
        <w:t/>
      </w:r>
    </w:p>
    <w:tbl>
      <w:tblPr>
        <w:tblStyle w:val="TableGrid"/>
        <w:tblW w:w="9360" w:type="dxa"/>
        <w:tblLayout w:type="fixed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  <w:tblCellMar>
          <w:top w:w="120" w:type="dxa"/>
          <w:bottom w:w="120" w:type="dxa"/>
          <w:start w:w="160" w:type="dxa"/>
          <w:end w:w="160" w:type="dxa"/>
        </w:tblCellMar>
      </w:tblPr>
      <w:tblGrid>
        <w:gridCol w:w="3550"/>
        <w:gridCol w:w="5810"/>
      </w:tblGrid>
      <w:tr>
        <w:trPr>
          <w:cantSplit/>
        </w:trPr>
        <w:tc>
          <w:tcPr>
            <w:tcW w:w="9360" w:type="dxa"/>
            <w:gridSpan w:val="2"/>
            <w:tcMar>
              <w:top w:w="120" w:type="dxa"/>
              <w:bottom w:w="120" w:type="dxa"/>
              <w:start w:w="160" w:type="dxa"/>
              <w:end w:w="160" w:type="dxa"/>
            </w:tcMar>
            <w:shd w:fill="F1F3F4"/>
            <w:vAlign w:val="center"/>
          </w:tcPr>
          <w:p>
            <w:pPr>
              <w:spacing w:after="40" w:line="276" w:lineRule="auto"/>
            </w:pPr>
            <w:r>
              <w:rPr>
                <w:b/>
              </w:rPr>
              <w:t>4. Mundo mejor: ¿para todos? ¿A corto/largo plazo? &gt; Innovaciones científicas y responsabilidad + territorio y memoria</w:t>
            </w:r>
          </w:p>
        </w:tc>
      </w:tr>
      <w:tr>
        <w:trPr>
          <w:cantSplit/>
        </w:trPr>
        <w:tc>
          <w:tcPr>
            <w:tcW w:w="3550" w:type="dxa"/>
            <w:tcMar>
              <w:top w:w="120" w:type="dxa"/>
              <w:bottom w:w="120" w:type="dxa"/>
              <w:start w:w="160" w:type="dxa"/>
              <w:end w:w="160" w:type="dxa"/>
            </w:tcMar>
            <w:shd w:fill="F8F9FA"/>
            <w:vAlign w:val="center"/>
          </w:tcPr>
          <w:p>
            <w:pPr>
              <w:spacing w:after="40" w:line="276" w:lineRule="auto"/>
            </w:pPr>
            <w:r>
              <w:rPr>
                <w:b/>
              </w:rPr>
              <w:t>Vocabulaire essentiel</w:t>
            </w:r>
          </w:p>
        </w:tc>
        <w:tc>
          <w:tcPr>
            <w:tcW w:w="5810" w:type="dxa"/>
            <w:tcMar>
              <w:top w:w="120" w:type="dxa"/>
              <w:bottom w:w="120" w:type="dxa"/>
              <w:start w:w="160" w:type="dxa"/>
              <w:end w:w="160" w:type="dxa"/>
            </w:tcMar>
            <w:shd w:fill="F8F9FA"/>
            <w:vAlign w:val="center"/>
          </w:tcPr>
          <w:p>
            <w:pPr>
              <w:spacing w:after="40" w:line="276" w:lineRule="auto"/>
            </w:pPr>
            <w:r>
              <w:rPr>
                <w:b/>
              </w:rPr>
              <w:t>Temps et formes grammaticales</w:t>
            </w:r>
          </w:p>
        </w:tc>
      </w:tr>
      <w:tr>
        <w:trPr>
          <w:cantSplit/>
        </w:trPr>
        <w:tc>
          <w:tcPr>
            <w:tcW w:w="3550" w:type="dxa"/>
            <w:tcMar>
              <w:top w:w="120" w:type="dxa"/>
              <w:bottom w:w="120" w:type="dxa"/>
              <w:start w:w="160" w:type="dxa"/>
              <w:end w:w="160" w:type="dxa"/>
            </w:tcMar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after="80" w:line="276" w:lineRule="auto"/>
            </w:pPr>
            <w:r>
              <w:t>un invento, innovar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 w:line="276" w:lineRule="auto"/>
            </w:pPr>
            <w:r>
              <w:t>ventajas e inconvenientes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 w:line="276" w:lineRule="auto"/>
            </w:pPr>
            <w:r>
              <w:t>la responsabilidad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 w:line="276" w:lineRule="auto"/>
            </w:pPr>
            <w:r>
              <w:t>el cambio climático, la sequía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 w:line="276" w:lineRule="auto"/>
            </w:pPr>
            <w:r>
              <w:t>el agua, los ríos, el desvío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 w:line="276" w:lineRule="auto"/>
            </w:pPr>
            <w:r>
              <w:t>las redes sociales, los menores</w:t>
            </w:r>
          </w:p>
        </w:tc>
        <w:tc>
          <w:tcPr>
            <w:tcW w:w="5810" w:type="dxa"/>
            <w:tcMar>
              <w:top w:w="120" w:type="dxa"/>
              <w:bottom w:w="120" w:type="dxa"/>
              <w:start w:w="160" w:type="dxa"/>
              <w:end w:w="160" w:type="dxa"/>
            </w:tcMar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after="80" w:line="276" w:lineRule="auto"/>
            </w:pPr>
            <w:r>
              <w:t>futuro y condicional para imaginar consecuencias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 w:line="276" w:lineRule="auto"/>
            </w:pPr>
            <w:r>
              <w:t>hipótesis: si + presente / futuro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 w:line="276" w:lineRule="auto"/>
            </w:pPr>
            <w:r>
              <w:t>comparativos y expresiones de opinión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 w:line="276" w:lineRule="auto"/>
            </w:pPr>
            <w:r>
              <w:t>obligación, prohibición y consejo: hay que, no se debe, está prohibido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 w:line="276" w:lineRule="auto"/>
            </w:pPr>
            <w:r>
              <w:t>para + infinitivo para expresar finalidad</w:t>
            </w:r>
          </w:p>
        </w:tc>
      </w:tr>
      <w:tr>
        <w:trPr>
          <w:cantSplit/>
        </w:trPr>
        <w:tc>
          <w:tcPr>
            <w:tcW w:w="3550" w:type="dxa"/>
            <w:tcMar>
              <w:top w:w="120" w:type="dxa"/>
              <w:bottom w:w="120" w:type="dxa"/>
              <w:start w:w="160" w:type="dxa"/>
              <w:end w:w="160" w:type="dxa"/>
            </w:tcMar>
            <w:shd w:fill="F8F9FA"/>
            <w:vAlign w:val="center"/>
          </w:tcPr>
          <w:p>
            <w:pPr>
              <w:spacing w:after="40" w:line="276" w:lineRule="auto"/>
            </w:pPr>
            <w:r>
              <w:rPr>
                <w:b/>
              </w:rPr>
              <w:t>Document / support</w:t>
            </w:r>
          </w:p>
        </w:tc>
        <w:tc>
          <w:tcPr>
            <w:tcW w:w="5810" w:type="dxa"/>
            <w:tcMar>
              <w:top w:w="120" w:type="dxa"/>
              <w:bottom w:w="120" w:type="dxa"/>
              <w:start w:w="160" w:type="dxa"/>
              <w:end w:w="160" w:type="dxa"/>
            </w:tcMar>
            <w:shd w:fill="F8F9FA"/>
            <w:vAlign w:val="center"/>
          </w:tcPr>
          <w:p>
            <w:pPr>
              <w:spacing w:after="40" w:line="276" w:lineRule="auto"/>
            </w:pPr>
            <w:r>
              <w:rPr>
                <w:b/>
              </w:rPr>
              <w:t>Aspects de l’axe traités</w:t>
            </w:r>
          </w:p>
        </w:tc>
      </w:tr>
      <w:tr>
        <w:trPr>
          <w:cantSplit/>
        </w:trPr>
        <w:tc>
          <w:tcPr>
            <w:tcW w:w="3550" w:type="dxa"/>
            <w:tcMar>
              <w:top w:w="120" w:type="dxa"/>
              <w:bottom w:w="120" w:type="dxa"/>
              <w:start w:w="160" w:type="dxa"/>
              <w:end w:w="16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b/>
              </w:rPr>
              <w:t>inventos</w:t>
            </w:r>
          </w:p>
        </w:tc>
        <w:tc>
          <w:tcPr>
            <w:tcW w:w="5810" w:type="dxa"/>
            <w:tcMar>
              <w:top w:w="120" w:type="dxa"/>
              <w:bottom w:w="120" w:type="dxa"/>
              <w:start w:w="160" w:type="dxa"/>
              <w:end w:w="160" w:type="dxa"/>
            </w:tcMar>
            <w:vAlign w:val="center"/>
          </w:tcPr>
          <w:p>
            <w:pPr>
              <w:spacing w:after="40" w:line="276" w:lineRule="auto"/>
            </w:pPr>
            <w:r>
              <w:t>Ventajas e inconvenientes de la innovación; progreso científico y responsabilidad ante sus efectos.</w:t>
            </w:r>
          </w:p>
        </w:tc>
      </w:tr>
      <w:tr>
        <w:trPr>
          <w:cantSplit/>
        </w:trPr>
        <w:tc>
          <w:tcPr>
            <w:tcW w:w="3550" w:type="dxa"/>
            <w:tcMar>
              <w:top w:w="120" w:type="dxa"/>
              <w:bottom w:w="120" w:type="dxa"/>
              <w:start w:w="160" w:type="dxa"/>
              <w:end w:w="16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b/>
              </w:rPr>
              <w:t>balance climático de AEMET + desafío del agua + predicciones</w:t>
            </w:r>
          </w:p>
        </w:tc>
        <w:tc>
          <w:tcPr>
            <w:tcW w:w="5810" w:type="dxa"/>
            <w:tcMar>
              <w:top w:w="120" w:type="dxa"/>
              <w:bottom w:w="120" w:type="dxa"/>
              <w:start w:w="160" w:type="dxa"/>
              <w:end w:w="160" w:type="dxa"/>
            </w:tcMar>
            <w:vAlign w:val="center"/>
          </w:tcPr>
          <w:p>
            <w:pPr>
              <w:spacing w:after="40" w:line="276" w:lineRule="auto"/>
            </w:pPr>
            <w:r>
              <w:t>Cambio climático, gestión del agua y necesidad de prever riesgos a corto y largo plazo.</w:t>
            </w:r>
          </w:p>
        </w:tc>
      </w:tr>
      <w:tr>
        <w:trPr>
          <w:cantSplit/>
        </w:trPr>
        <w:tc>
          <w:tcPr>
            <w:tcW w:w="3550" w:type="dxa"/>
            <w:tcMar>
              <w:top w:w="120" w:type="dxa"/>
              <w:bottom w:w="120" w:type="dxa"/>
              <w:start w:w="160" w:type="dxa"/>
              <w:end w:w="16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b/>
              </w:rPr>
              <w:t>los ríos de España: desvío del río Tajo</w:t>
            </w:r>
          </w:p>
        </w:tc>
        <w:tc>
          <w:tcPr>
            <w:tcW w:w="5810" w:type="dxa"/>
            <w:tcMar>
              <w:top w:w="120" w:type="dxa"/>
              <w:bottom w:w="120" w:type="dxa"/>
              <w:start w:w="160" w:type="dxa"/>
              <w:end w:w="160" w:type="dxa"/>
            </w:tcMar>
            <w:vAlign w:val="center"/>
          </w:tcPr>
          <w:p>
            <w:pPr>
              <w:spacing w:after="40" w:line="276" w:lineRule="auto"/>
            </w:pPr>
            <w:r>
              <w:t>Territorio, recursos hídricos y tensiones entre necesidades locales, memoria del paisaje y decisiones colectivas.</w:t>
            </w:r>
          </w:p>
        </w:tc>
      </w:tr>
      <w:tr>
        <w:trPr>
          <w:cantSplit/>
        </w:trPr>
        <w:tc>
          <w:tcPr>
            <w:tcW w:w="3550" w:type="dxa"/>
            <w:tcMar>
              <w:top w:w="120" w:type="dxa"/>
              <w:bottom w:w="120" w:type="dxa"/>
              <w:start w:w="160" w:type="dxa"/>
              <w:end w:w="16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b/>
              </w:rPr>
              <w:t>máquinas Atecfrío</w:t>
            </w:r>
          </w:p>
        </w:tc>
        <w:tc>
          <w:tcPr>
            <w:tcW w:w="5810" w:type="dxa"/>
            <w:tcMar>
              <w:top w:w="120" w:type="dxa"/>
              <w:bottom w:w="120" w:type="dxa"/>
              <w:start w:w="160" w:type="dxa"/>
              <w:end w:w="160" w:type="dxa"/>
            </w:tcMar>
            <w:vAlign w:val="center"/>
          </w:tcPr>
          <w:p>
            <w:pPr>
              <w:spacing w:after="40" w:line="276" w:lineRule="auto"/>
            </w:pPr>
            <w:r>
              <w:t>Uso de la tecnología para responder a necesidades concretas; innovación práctica y responsabilidad en sus aplicaciones.</w:t>
            </w:r>
          </w:p>
        </w:tc>
      </w:tr>
      <w:tr>
        <w:trPr>
          <w:cantSplit/>
        </w:trPr>
        <w:tc>
          <w:tcPr>
            <w:tcW w:w="3550" w:type="dxa"/>
            <w:tcMar>
              <w:top w:w="120" w:type="dxa"/>
              <w:bottom w:w="120" w:type="dxa"/>
              <w:start w:w="160" w:type="dxa"/>
              <w:end w:w="16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b/>
              </w:rPr>
              <w:t>prohibición de redes sociales para menores de 16 años</w:t>
            </w:r>
          </w:p>
        </w:tc>
        <w:tc>
          <w:tcPr>
            <w:tcW w:w="5810" w:type="dxa"/>
            <w:tcMar>
              <w:top w:w="120" w:type="dxa"/>
              <w:bottom w:w="120" w:type="dxa"/>
              <w:start w:w="160" w:type="dxa"/>
              <w:end w:w="160" w:type="dxa"/>
            </w:tcMar>
            <w:vAlign w:val="center"/>
          </w:tcPr>
          <w:p>
            <w:pPr>
              <w:spacing w:after="40" w:line="276" w:lineRule="auto"/>
            </w:pPr>
            <w:r>
              <w:t>Debate sobre protección, libertad y responsabilidad digital; impacto de la tecnología en los jóvenes.</w:t>
            </w:r>
          </w:p>
        </w:tc>
      </w:tr>
    </w:tbl>
    <w:sectPr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percent="100"/>
  <w:proofState w:spelling="clean" w:grammar="clean"/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  <w:szCs w:val="22"/>
        <w:color w:val="000000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  <w:qFormat/>
    <w:pPr>
      <w:spacing w:after="160" w:line="276" w:lineRule="auto"/>
    </w:pPr>
    <w:rPr>
      <w:rFonts w:ascii="Arial" w:hAnsi="Arial" w:cs="Arial"/>
      <w:sz w:val="22"/>
    </w:rPr>
  </w:style>
  <w:style w:type="paragraph" w:styleId="Title">
    <w:name w:val="Title"/>
    <w:basedOn w:val="Normal"/>
    <w:next w:val="Normal"/>
    <w:qFormat/>
    <w:pPr>
      <w:spacing w:after="200" w:line="276" w:lineRule="auto"/>
    </w:pPr>
    <w:rPr>
      <w:rFonts w:ascii="Arial" w:hAnsi="Arial" w:cs="Arial"/>
      <w:b/>
      <w:sz w:val="48"/>
      <w:color w:val="000000"/>
    </w:rPr>
  </w:style>
  <w:style w:type="paragraph" w:styleId="Subtitle">
    <w:name w:val="Subtitle"/>
    <w:basedOn w:val="Normal"/>
    <w:next w:val="Normal"/>
    <w:qFormat/>
    <w:pPr>
      <w:spacing w:after="280" w:line="276" w:lineRule="auto"/>
    </w:pPr>
    <w:rPr>
      <w:rFonts w:ascii="Arial" w:hAnsi="Arial" w:cs="Arial"/>
      <w:sz w:val="24"/>
      <w:color w:val="555555"/>
    </w:rPr>
  </w:style>
  <w:style w:type="paragraph" w:styleId="ListParagraph">
    <w:name w:val="List Paragraph"/>
    <w:basedOn w:val="Normal"/>
    <w:pPr>
      <w:ind w:left="720"/>
      <w:spacing w:after="80" w:line="276" w:lineRule="auto"/>
    </w:pPr>
    <w:rPr>
      <w:rFonts w:ascii="Arial" w:hAnsi="Arial" w:cs="Arial"/>
      <w:sz w:val="21"/>
    </w:rPr>
  </w:style>
  <w:style w:type="table" w:styleId="TableGrid">
    <w:name w:val="Table Grid"/>
    <w:basedOn w:val="TableNormal"/>
    <w:uiPriority w:val="59"/>
    <w:tblPr>
      <w:tblInd w:w="0" w:type="dxa"/>
      <w:tblCellMar>
        <w:top w:w="120" w:type="dxa"/>
        <w:bottom w:w="120" w:type="dxa"/>
        <w:start w:w="160" w:type="dxa"/>
        <w:end w:w="160" w:type="dxa"/>
      </w:tblCellMar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 de révision - Image 2</dc:title>
  <dc:creator>Codex</dc:creator>
  <cp:lastModifiedBy>Codex</cp:lastModifiedBy>
  <dcterms:created xsi:type="dcterms:W3CDTF">2026-05-08T13:59:11Z</dcterms:created>
  <dcterms:modified xsi:type="dcterms:W3CDTF">2026-05-08T13:59:11Z</dcterms:modified>
</cp:coreProperties>
</file>