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42qb2cqsdh0" w:id="0"/>
      <w:bookmarkEnd w:id="0"/>
      <w:r w:rsidDel="00000000" w:rsidR="00000000" w:rsidRPr="00000000">
        <w:rPr>
          <w:rtl w:val="0"/>
        </w:rPr>
        <w:t xml:space="preserve">Frontend Structure &amp; Styling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ebmahrwccp5" w:id="1"/>
      <w:bookmarkEnd w:id="1"/>
      <w:r w:rsidDel="00000000" w:rsidR="00000000" w:rsidRPr="00000000">
        <w:rPr>
          <w:rtl w:val="0"/>
        </w:rPr>
        <w:t xml:space="preserve">Colour Scheme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N.b. some may be approximations as using Bootstrap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73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fmt8y6fdmmx" w:id="2"/>
      <w:bookmarkEnd w:id="2"/>
      <w:r w:rsidDel="00000000" w:rsidR="00000000" w:rsidRPr="00000000">
        <w:rPr>
          <w:rtl w:val="0"/>
        </w:rPr>
        <w:t xml:space="preserve">Styling common to all pages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58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3.9227799227797"/>
        <w:gridCol w:w="2226.4285714285716"/>
        <w:gridCol w:w="2226.4285714285716"/>
        <w:gridCol w:w="2226.4285714285716"/>
        <w:gridCol w:w="3080.895752895753"/>
        <w:gridCol w:w="3080.895752895753"/>
        <w:tblGridChange w:id="0">
          <w:tblGrid>
            <w:gridCol w:w="2743.9227799227797"/>
            <w:gridCol w:w="2226.4285714285716"/>
            <w:gridCol w:w="2226.4285714285716"/>
            <w:gridCol w:w="2226.4285714285716"/>
            <w:gridCol w:w="3080.895752895753"/>
            <w:gridCol w:w="3080.89575289575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Name/Description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HTML/CSS element/Class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Responsiveness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Colour of page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 #FFFFFF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Layout/Responsiveness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Inside body element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Below where navbar will go.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Header then...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divs- using grid hierarchy: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Container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Rows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Columns - all content goes in columns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 row can have up to 12 columns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https://getbootstrap.com/docs/5.0/layout/containers/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https://getbootstrap.com/docs/5.0/layout/grid/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https://getbootstrap.com/docs/5.0/layout/columns/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Various in the colour scheme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Bootstrap </w:t>
            </w:r>
            <w:r w:rsidDel="00000000" w:rsidR="00000000" w:rsidRPr="00000000">
              <w:rPr>
                <w:color w:val="ff0000"/>
                <w:rtl w:val="0"/>
              </w:rPr>
              <w:t xml:space="preserve">.container</w:t>
            </w:r>
            <w:r w:rsidDel="00000000" w:rsidR="00000000" w:rsidRPr="00000000">
              <w:rPr>
                <w:rtl w:val="0"/>
              </w:rPr>
              <w:t xml:space="preserve"> element to be the outer structure: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https://getbootstrap.com/docs/5.0/layout/containers/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inside this, you use the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outer content for mobiles should be 1 column as to be displayed vertically.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N.b. you can have a row inside a column &amp; further columns for inner elements if necessary.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necessary, can add more columns to place items horizontally at larger viewports.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Breakpoints - bootstrap starts at mobile size &amp; increases: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https://getbootstrap.com/docs/5.0/layout/breakpoints/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Also see how Bootstrap utilises media queries: - same link as above.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can change the number of columns at different breakpoints: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.d-{value}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for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xs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hd w:fill="ffffff" w:val="clear"/>
              <w:spacing w:after="24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.d-{breakpoint}-{value}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for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sm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md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lg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xl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, and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xxl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 the docs: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https://getbootstrap.com/docs/5.0/utilities/display/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of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H2 -&gt; 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Spanish Blue #296EB4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H2 -&gt; h1,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heading heading--main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with h2 for mobile &amp; once on screen may need to start smaller (e.g H3) &amp; increase with media queries for different viewports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titles-next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H3 -&gt; 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Spanish Blue #296EB4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H3 -&gt; h2, “heading heading--secondary”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with h2 for mobile &amp; once on screen may need to start smaller (e.g H3) &amp; increase with media queries for different viewports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titles - further levels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H4, H5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Spanish Blue #296EB4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H4, h5 etc heading heading--tertiary”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Resize in line with larger titles</w:t>
            </w:r>
          </w:p>
        </w:tc>
      </w:tr>
      <w:tr>
        <w:trPr>
          <w:trHeight w:val="1187.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hanging="36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https://getbootstrap.com/docs/5.0/forms/overview/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Border: Dodger Blue #1789FC (matches buttons)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Background: white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Labels: Spanish Blue #296EB4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read docs to work out how to put labels above for mobile &amp; at side for wider screens</w:t>
            </w:r>
          </w:p>
        </w:tc>
      </w:tr>
      <w:tr>
        <w:trPr>
          <w:trHeight w:val="1187.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Dodger Blue #1789FC (Bootstrap so similar to this)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Bootstrap primary button: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https://getbootstrap.com/docs/5.0/components/buttons/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bigger sized screens, may need to change size. See ‘sizes’ in button section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button group if two buttons together - see docs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N.b. once using React, can consider setting some buttons to ‘disabled’, e.g. until all sections of form completed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Same for toggle states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7.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 - check  if specific html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Links background in Dodger Blue #1789FC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Bootstrap: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https://getbootstrap.com/docs/5.0/components/navbar/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7.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Borders for tables, pictures, graphs etc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Spanish Blue #296EB4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tbootstrap.com/docs/5.0/layout/breakpoints/" TargetMode="External"/><Relationship Id="rId10" Type="http://schemas.openxmlformats.org/officeDocument/2006/relationships/hyperlink" Target="https://getbootstrap.com/docs/5.0/layout/containers/" TargetMode="External"/><Relationship Id="rId13" Type="http://schemas.openxmlformats.org/officeDocument/2006/relationships/hyperlink" Target="https://getbootstrap.com/docs/5.0/forms/overview/" TargetMode="External"/><Relationship Id="rId12" Type="http://schemas.openxmlformats.org/officeDocument/2006/relationships/hyperlink" Target="https://getbootstrap.com/docs/5.0/utilities/displa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5.0/layout/columns/" TargetMode="External"/><Relationship Id="rId15" Type="http://schemas.openxmlformats.org/officeDocument/2006/relationships/hyperlink" Target="https://getbootstrap.com/docs/5.0/components/navbar/" TargetMode="External"/><Relationship Id="rId14" Type="http://schemas.openxmlformats.org/officeDocument/2006/relationships/hyperlink" Target="https://getbootstrap.com/docs/5.0/components/button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etbootstrap.com/docs/5.0/layout/containers/" TargetMode="External"/><Relationship Id="rId8" Type="http://schemas.openxmlformats.org/officeDocument/2006/relationships/hyperlink" Target="https://getbootstrap.com/docs/5.0/layout/gri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