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56D" w:rsidRDefault="007950A6">
      <w:pPr>
        <w:jc w:val="center"/>
      </w:pPr>
      <w:r>
        <w:rPr>
          <w:b/>
          <w:sz w:val="36"/>
        </w:rPr>
        <w:t>Wireshark Investigation &amp; Level II Escalation Report</w:t>
      </w:r>
    </w:p>
    <w:p w:rsidR="008D056D" w:rsidRDefault="007950A6">
      <w:pPr>
        <w:jc w:val="center"/>
      </w:pPr>
      <w:r>
        <w:rPr>
          <w:i/>
        </w:rPr>
        <w:t>Exact supplied 28-packet table • SOC Training Exercise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D056D">
        <w:trPr>
          <w:jc w:val="center"/>
        </w:trPr>
        <w:tc>
          <w:tcPr>
            <w:tcW w:w="2592" w:type="dxa"/>
            <w:vAlign w:val="center"/>
          </w:tcPr>
          <w:p w:rsidR="008D056D" w:rsidRDefault="007950A6">
            <w:r>
              <w:rPr>
                <w:b/>
              </w:rPr>
              <w:t>Case</w:t>
            </w:r>
          </w:p>
        </w:tc>
        <w:tc>
          <w:tcPr>
            <w:tcW w:w="2592" w:type="dxa"/>
            <w:vAlign w:val="center"/>
          </w:tcPr>
          <w:p w:rsidR="008D056D" w:rsidRDefault="007950A6">
            <w:r>
              <w:t>INC-20261002-001</w:t>
            </w:r>
          </w:p>
        </w:tc>
        <w:tc>
          <w:tcPr>
            <w:tcW w:w="2592" w:type="dxa"/>
            <w:vAlign w:val="center"/>
          </w:tcPr>
          <w:p w:rsidR="008D056D" w:rsidRDefault="007950A6">
            <w:r>
              <w:rPr>
                <w:b/>
              </w:rPr>
              <w:t>Assigned Analyst</w:t>
            </w:r>
          </w:p>
        </w:tc>
        <w:tc>
          <w:tcPr>
            <w:tcW w:w="2592" w:type="dxa"/>
            <w:vAlign w:val="center"/>
          </w:tcPr>
          <w:p w:rsidR="008D056D" w:rsidRDefault="007950A6">
            <w:r>
              <w:t>SOC-Analyst-01</w:t>
            </w:r>
          </w:p>
        </w:tc>
      </w:tr>
      <w:tr w:rsidR="008D056D">
        <w:trPr>
          <w:jc w:val="center"/>
        </w:trPr>
        <w:tc>
          <w:tcPr>
            <w:tcW w:w="2592" w:type="dxa"/>
            <w:vAlign w:val="center"/>
          </w:tcPr>
          <w:p w:rsidR="008D056D" w:rsidRDefault="007950A6">
            <w:r>
              <w:rPr>
                <w:b/>
              </w:rPr>
              <w:t>Severity</w:t>
            </w:r>
          </w:p>
        </w:tc>
        <w:tc>
          <w:tcPr>
            <w:tcW w:w="2592" w:type="dxa"/>
            <w:vAlign w:val="center"/>
          </w:tcPr>
          <w:p w:rsidR="008D056D" w:rsidRDefault="007950A6">
            <w:r>
              <w:t>CRITICAL</w:t>
            </w:r>
          </w:p>
        </w:tc>
        <w:tc>
          <w:tcPr>
            <w:tcW w:w="2592" w:type="dxa"/>
            <w:vAlign w:val="center"/>
          </w:tcPr>
          <w:p w:rsidR="008D056D" w:rsidRDefault="007950A6">
            <w:r>
              <w:rPr>
                <w:b/>
              </w:rPr>
              <w:t>Disposition</w:t>
            </w:r>
          </w:p>
        </w:tc>
        <w:tc>
          <w:tcPr>
            <w:tcW w:w="2592" w:type="dxa"/>
            <w:vAlign w:val="center"/>
          </w:tcPr>
          <w:p w:rsidR="008D056D" w:rsidRDefault="007950A6">
            <w:r>
              <w:t>Escalate to Level II</w:t>
            </w:r>
          </w:p>
        </w:tc>
      </w:tr>
      <w:tr w:rsidR="008D056D">
        <w:trPr>
          <w:jc w:val="center"/>
        </w:trPr>
        <w:tc>
          <w:tcPr>
            <w:tcW w:w="2592" w:type="dxa"/>
            <w:vAlign w:val="center"/>
          </w:tcPr>
          <w:p w:rsidR="008D056D" w:rsidRDefault="007950A6">
            <w:r>
              <w:rPr>
                <w:b/>
              </w:rPr>
              <w:t>Dataset</w:t>
            </w:r>
          </w:p>
        </w:tc>
        <w:tc>
          <w:tcPr>
            <w:tcW w:w="2592" w:type="dxa"/>
            <w:vAlign w:val="center"/>
          </w:tcPr>
          <w:p w:rsidR="008D056D" w:rsidRDefault="007950A6">
            <w:r>
              <w:t>2026-05-29 • 09:30:00–09:30:11</w:t>
            </w:r>
          </w:p>
        </w:tc>
        <w:tc>
          <w:tcPr>
            <w:tcW w:w="2592" w:type="dxa"/>
            <w:vAlign w:val="center"/>
          </w:tcPr>
          <w:p w:rsidR="008D056D" w:rsidRDefault="007950A6">
            <w:r>
              <w:rPr>
                <w:b/>
              </w:rPr>
              <w:t>Packets</w:t>
            </w:r>
          </w:p>
        </w:tc>
        <w:tc>
          <w:tcPr>
            <w:tcW w:w="2592" w:type="dxa"/>
            <w:vAlign w:val="center"/>
          </w:tcPr>
          <w:p w:rsidR="008D056D" w:rsidRDefault="007950A6">
            <w:r>
              <w:t>28</w:t>
            </w:r>
          </w:p>
        </w:tc>
      </w:tr>
    </w:tbl>
    <w:p w:rsidR="008D056D" w:rsidRDefault="008D056D"/>
    <w:p w:rsidR="008D056D" w:rsidRDefault="007950A6">
      <w:r>
        <w:rPr>
          <w:b/>
        </w:rPr>
        <w:t xml:space="preserve">Scope note: </w:t>
      </w:r>
      <w:r>
        <w:t>This investigation analyzes the labels and packet metadata in the exact table supplied. Labels such as “Tor Node,” “C2,” “malicious-site.biz,” and “DDoS” are treated as training indicators, not independently verified attribution. I</w:t>
      </w:r>
      <w:r>
        <w:t>n a production case, Level II should validate them using raw packet contents, endpoint telemetry, DNS/proxy/firewall logs, and approved threat intelligence.</w:t>
      </w:r>
    </w:p>
    <w:p w:rsidR="008D056D" w:rsidRDefault="007950A6">
      <w:pPr>
        <w:pStyle w:val="Heading1"/>
      </w:pPr>
      <w:r>
        <w:lastRenderedPageBreak/>
        <w:t>1. Exact Source Evidence</w:t>
      </w:r>
    </w:p>
    <w:p w:rsidR="008D056D" w:rsidRDefault="007950A6">
      <w:r>
        <w:rPr>
          <w:noProof/>
          <w:lang w:val="en-PH" w:eastAsia="en-PH"/>
        </w:rPr>
        <w:drawing>
          <wp:inline distT="0" distB="0" distL="0" distR="0">
            <wp:extent cx="5394960" cy="77172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255795-2f17-4d69-83df-b456c1d692a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71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56D" w:rsidRDefault="007950A6">
      <w:pPr>
        <w:jc w:val="center"/>
      </w:pPr>
      <w:r>
        <w:t>Figure 1. Exact table supplied for this investigation.</w:t>
      </w:r>
    </w:p>
    <w:p w:rsidR="007950A6" w:rsidRDefault="007950A6">
      <w:pPr>
        <w:pStyle w:val="Heading1"/>
      </w:pPr>
    </w:p>
    <w:p w:rsidR="008D056D" w:rsidRDefault="007950A6">
      <w:pPr>
        <w:pStyle w:val="Heading1"/>
      </w:pPr>
      <w:r>
        <w:t>2. Findings and A</w:t>
      </w:r>
      <w:r>
        <w:t>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D056D">
        <w:trPr>
          <w:jc w:val="center"/>
        </w:trPr>
        <w:tc>
          <w:tcPr>
            <w:tcW w:w="3456" w:type="dxa"/>
          </w:tcPr>
          <w:p w:rsidR="008D056D" w:rsidRDefault="007950A6">
            <w:r>
              <w:rPr>
                <w:b/>
                <w:sz w:val="15"/>
              </w:rPr>
              <w:t>Threat</w:t>
            </w:r>
          </w:p>
        </w:tc>
        <w:tc>
          <w:tcPr>
            <w:tcW w:w="3456" w:type="dxa"/>
          </w:tcPr>
          <w:p w:rsidR="008D056D" w:rsidRDefault="007950A6">
            <w:r>
              <w:rPr>
                <w:b/>
                <w:sz w:val="15"/>
              </w:rPr>
              <w:t>Packet(s)</w:t>
            </w:r>
          </w:p>
        </w:tc>
        <w:tc>
          <w:tcPr>
            <w:tcW w:w="3456" w:type="dxa"/>
          </w:tcPr>
          <w:p w:rsidR="008D056D" w:rsidRDefault="007950A6">
            <w:r>
              <w:rPr>
                <w:b/>
                <w:sz w:val="15"/>
              </w:rPr>
              <w:t>Interpretation</w:t>
            </w:r>
          </w:p>
        </w:tc>
      </w:tr>
      <w:tr w:rsidR="008D056D">
        <w:trPr>
          <w:jc w:val="center"/>
        </w:trPr>
        <w:tc>
          <w:tcPr>
            <w:tcW w:w="3456" w:type="dxa"/>
          </w:tcPr>
          <w:p w:rsidR="008D056D" w:rsidRDefault="007950A6">
            <w:r>
              <w:rPr>
                <w:sz w:val="15"/>
              </w:rPr>
              <w:t>Failed logins → possible brute force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Packets 4–6 and 27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 xml:space="preserve">Three failed SSH login attempts from 192.168.1.20 to 192.168.1.5, followed later by a repeated login attempt from 192.168.1.98. The pattern is consistent with </w:t>
            </w:r>
            <w:r>
              <w:rPr>
                <w:sz w:val="15"/>
              </w:rPr>
              <w:t>authentication abuse/reconnaissance. Correlate with SSH/authentication logs to determine whether any login succeeded.</w:t>
            </w:r>
          </w:p>
        </w:tc>
      </w:tr>
      <w:tr w:rsidR="008D056D">
        <w:trPr>
          <w:jc w:val="center"/>
        </w:trPr>
        <w:tc>
          <w:tcPr>
            <w:tcW w:w="3456" w:type="dxa"/>
          </w:tcPr>
          <w:p w:rsidR="008D056D" w:rsidRDefault="007950A6">
            <w:r>
              <w:rPr>
                <w:sz w:val="15"/>
              </w:rPr>
              <w:t>Suspicious URLs → malware download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Packets 7–8 and 22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 7 records GET /malware.exe and packet 8 records a possible malware download.</w:t>
            </w:r>
            <w:r>
              <w:rPr>
                <w:sz w:val="15"/>
              </w:rPr>
              <w:t xml:space="preserve"> Packet 22 records a repeated malware callback. This sequence is consistent with possible malware delivery followed by callback activity; validate with endpoint/EDR and proxy logs.</w:t>
            </w:r>
          </w:p>
        </w:tc>
      </w:tr>
      <w:tr w:rsidR="008D056D">
        <w:trPr>
          <w:jc w:val="center"/>
        </w:trPr>
        <w:tc>
          <w:tcPr>
            <w:tcW w:w="3456" w:type="dxa"/>
          </w:tcPr>
          <w:p w:rsidR="008D056D" w:rsidRDefault="007950A6">
            <w:r>
              <w:rPr>
                <w:sz w:val="15"/>
              </w:rPr>
              <w:t>Outbound traffic → possible data exfiltration / suspicious IPs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Packets 10,</w:t>
            </w:r>
            <w:r>
              <w:rPr>
                <w:sz w:val="15"/>
              </w:rPr>
              <w:t xml:space="preserve"> 19 and 25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 10 shows an outbound connection to 185.220.101.1; packet 19 shows a suspicious HTTP POST to 52.134.56.1; packet 25 shows C2 data exchange. These are potential unauthorized external communications or data transfer and require payload/proxy</w:t>
            </w:r>
            <w:r>
              <w:rPr>
                <w:sz w:val="15"/>
              </w:rPr>
              <w:t>/DLP validation.</w:t>
            </w:r>
          </w:p>
        </w:tc>
      </w:tr>
      <w:tr w:rsidR="008D056D">
        <w:trPr>
          <w:jc w:val="center"/>
        </w:trPr>
        <w:tc>
          <w:tcPr>
            <w:tcW w:w="3456" w:type="dxa"/>
          </w:tcPr>
          <w:p w:rsidR="008D056D" w:rsidRDefault="007950A6">
            <w:r>
              <w:rPr>
                <w:sz w:val="15"/>
              </w:rPr>
              <w:t>Ransomware indicators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Packets 11, 12 and 24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 11 records an encrypted .locked file, packet 12 a ransomware note delivery, and packet 24 a suspicious file rename. Together these are strong exercise indicators of file-encryption activi</w:t>
            </w:r>
            <w:r>
              <w:rPr>
                <w:sz w:val="15"/>
              </w:rPr>
              <w:t>ty. Preserve evidence and scope affected endpoints.</w:t>
            </w:r>
          </w:p>
        </w:tc>
      </w:tr>
      <w:tr w:rsidR="008D056D">
        <w:trPr>
          <w:jc w:val="center"/>
        </w:trPr>
        <w:tc>
          <w:tcPr>
            <w:tcW w:w="3456" w:type="dxa"/>
          </w:tcPr>
          <w:p w:rsidR="008D056D" w:rsidRDefault="007950A6">
            <w:r>
              <w:rPr>
                <w:sz w:val="15"/>
              </w:rPr>
              <w:t>C2 communications → beaconing behavior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Packets 15–16, 22 and 25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 xml:space="preserve">Packet 15 is a C2 beacon, packet 16 an encrypted callback, packet 22 a repeated malware callback, and packet 25 C2 data exchange. Repeated </w:t>
            </w:r>
            <w:r>
              <w:rPr>
                <w:sz w:val="15"/>
              </w:rPr>
              <w:t>outbound communication is consistent with possible command-and-control behavior; validate destination, frequency, and endpoint processes.</w:t>
            </w:r>
          </w:p>
        </w:tc>
      </w:tr>
      <w:tr w:rsidR="008D056D">
        <w:trPr>
          <w:jc w:val="center"/>
        </w:trPr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Port scanning → reconnaissance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Packets 1–3, 17–18 and 26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 xml:space="preserve">SYN activity targets ports 22, 23 and 80, while later </w:t>
            </w:r>
            <w:r>
              <w:rPr>
                <w:sz w:val="15"/>
              </w:rPr>
              <w:t>packets are labeled rapid SYN scanning and port-scan SYN. This is consistent with service discovery/reconnaissance. Identify the scanning host and scan scope.</w:t>
            </w:r>
          </w:p>
        </w:tc>
      </w:tr>
      <w:tr w:rsidR="008D056D">
        <w:trPr>
          <w:jc w:val="center"/>
        </w:trPr>
        <w:tc>
          <w:tcPr>
            <w:tcW w:w="3456" w:type="dxa"/>
          </w:tcPr>
          <w:p w:rsidR="008D056D" w:rsidRDefault="007950A6">
            <w:r>
              <w:rPr>
                <w:sz w:val="15"/>
              </w:rPr>
              <w:t>DDoS activity → flood traffic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Packets 13, 14, 21 and 28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High-volume broadcast, flood traffic, br</w:t>
            </w:r>
            <w:r>
              <w:rPr>
                <w:sz w:val="15"/>
              </w:rPr>
              <w:t>oadcast amplification and a DDoS burst are recorded. This indicates potential flood/amplification behavior. Confirm actual service impact and whether the traffic is internal, reflected, or externally sourced.</w:t>
            </w:r>
          </w:p>
        </w:tc>
      </w:tr>
      <w:tr w:rsidR="008D056D">
        <w:trPr>
          <w:jc w:val="center"/>
        </w:trPr>
        <w:tc>
          <w:tcPr>
            <w:tcW w:w="3456" w:type="dxa"/>
          </w:tcPr>
          <w:p w:rsidR="008D056D" w:rsidRDefault="007950A6">
            <w:r>
              <w:rPr>
                <w:sz w:val="15"/>
              </w:rPr>
              <w:t>Additional reconnaissance / suspicious DNS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Packets 9, 20 and 23</w:t>
            </w:r>
          </w:p>
        </w:tc>
        <w:tc>
          <w:tcPr>
            <w:tcW w:w="3456" w:type="dxa"/>
          </w:tcPr>
          <w:p w:rsidR="008D056D" w:rsidRDefault="007950A6">
            <w:r>
              <w:rPr>
                <w:sz w:val="15"/>
              </w:rPr>
              <w:t>Queries for strange-domain.xyz and malicious-site.biz plus an ICMP ping sweep provide additional suspicious discovery/resolution indicators. Validate domains and correlate DNS activity with endpoint processes.</w:t>
            </w:r>
          </w:p>
        </w:tc>
      </w:tr>
    </w:tbl>
    <w:p w:rsidR="008D056D" w:rsidRDefault="007950A6">
      <w:r>
        <w:br w:type="page"/>
      </w:r>
    </w:p>
    <w:p w:rsidR="008D056D" w:rsidRDefault="007950A6">
      <w:pPr>
        <w:pStyle w:val="Heading1"/>
      </w:pPr>
      <w:r>
        <w:lastRenderedPageBreak/>
        <w:t>3. Wireshark Investiga</w:t>
      </w:r>
      <w:r>
        <w:t>tion Screenshots</w:t>
      </w:r>
    </w:p>
    <w:p w:rsidR="008D056D" w:rsidRDefault="007950A6">
      <w:r>
        <w:rPr>
          <w:noProof/>
          <w:lang w:val="en-PH" w:eastAsia="en-PH"/>
        </w:rPr>
        <w:drawing>
          <wp:inline distT="0" distB="0" distL="0" distR="0">
            <wp:extent cx="6309360" cy="34491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wireshark_filt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56D" w:rsidRDefault="007950A6">
      <w:pPr>
        <w:jc w:val="center"/>
      </w:pPr>
      <w:r>
        <w:t>Figure 2. Threat-focused Wireshark filter view — training reconstruction from the exact table.</w:t>
      </w:r>
    </w:p>
    <w:p w:rsidR="008D056D" w:rsidRDefault="007950A6">
      <w:r>
        <w:rPr>
          <w:noProof/>
          <w:lang w:val="en-PH" w:eastAsia="en-PH"/>
        </w:rPr>
        <w:drawing>
          <wp:inline distT="0" distB="0" distL="0" distR="0">
            <wp:extent cx="6309360" cy="34491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cket_evid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56D" w:rsidRDefault="007950A6">
      <w:pPr>
        <w:jc w:val="center"/>
      </w:pPr>
      <w:r>
        <w:t>Figure 3. Packet-level evidence — training reconstruction from the exact table.</w:t>
      </w:r>
    </w:p>
    <w:p w:rsidR="008D056D" w:rsidRDefault="007950A6">
      <w:r>
        <w:rPr>
          <w:noProof/>
          <w:lang w:val="en-PH" w:eastAsia="en-PH"/>
        </w:rPr>
        <w:lastRenderedPageBreak/>
        <w:drawing>
          <wp:inline distT="0" distB="0" distL="0" distR="0">
            <wp:extent cx="6309360" cy="34491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wireshark_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56D" w:rsidRDefault="007950A6">
      <w:pPr>
        <w:jc w:val="center"/>
      </w:pPr>
      <w:r>
        <w:t xml:space="preserve">Figure 4. Flow/IOC-focused view — training reconstruction </w:t>
      </w:r>
      <w:r>
        <w:t>from the exact table.</w:t>
      </w:r>
    </w:p>
    <w:p w:rsidR="008D056D" w:rsidRDefault="007950A6">
      <w:r>
        <w:br w:type="page"/>
      </w:r>
    </w:p>
    <w:p w:rsidR="008D056D" w:rsidRDefault="007950A6">
      <w:pPr>
        <w:pStyle w:val="Heading1"/>
      </w:pPr>
      <w:r>
        <w:lastRenderedPageBreak/>
        <w:t>4. Incident Ticket Evidence</w:t>
      </w:r>
    </w:p>
    <w:p w:rsidR="008D056D" w:rsidRDefault="007950A6">
      <w:r>
        <w:rPr>
          <w:noProof/>
          <w:lang w:val="en-PH" w:eastAsia="en-PH"/>
        </w:rPr>
        <w:drawing>
          <wp:inline distT="0" distB="0" distL="0" distR="0">
            <wp:extent cx="6309360" cy="34491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icket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56D" w:rsidRDefault="007950A6">
      <w:pPr>
        <w:jc w:val="center"/>
      </w:pPr>
      <w:r>
        <w:t>Figure 5. Incident ticket evidence mockup.</w:t>
      </w:r>
    </w:p>
    <w:p w:rsidR="008D056D" w:rsidRDefault="007950A6">
      <w:r>
        <w:t>Ticket ID: INC-20261002-001</w:t>
      </w:r>
      <w:r>
        <w:br/>
        <w:t>Assigned analyst: SOC-Analyst-01</w:t>
      </w:r>
      <w:r>
        <w:br/>
        <w:t>Severity: CRITICAL</w:t>
      </w:r>
    </w:p>
    <w:p w:rsidR="008D056D" w:rsidRDefault="007950A6">
      <w:r>
        <w:t xml:space="preserve">Notes entered: Multiple indicators of compromise identified in the supplied </w:t>
      </w:r>
      <w:r>
        <w:t>packet table: possible SSH brute force, suspicious malware download, suspicious outbound traffic, ransomware indicators, C2 beacon/callback behavior, port scanning, and DDoS/flood activity. Escalation to Level II requested.</w:t>
      </w:r>
    </w:p>
    <w:p w:rsidR="008D056D" w:rsidRDefault="007950A6">
      <w:r>
        <w:br w:type="page"/>
      </w:r>
    </w:p>
    <w:p w:rsidR="008D056D" w:rsidRDefault="007950A6">
      <w:pPr>
        <w:pStyle w:val="Heading1"/>
      </w:pPr>
      <w:r>
        <w:lastRenderedPageBreak/>
        <w:t>5. Escalation Evidence</w:t>
      </w:r>
    </w:p>
    <w:p w:rsidR="008D056D" w:rsidRDefault="007950A6">
      <w:r>
        <w:rPr>
          <w:noProof/>
          <w:lang w:val="en-PH" w:eastAsia="en-PH"/>
        </w:rPr>
        <w:drawing>
          <wp:inline distT="0" distB="0" distL="0" distR="0">
            <wp:extent cx="6309360" cy="34491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scalation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56D" w:rsidRDefault="007950A6">
      <w:pPr>
        <w:jc w:val="center"/>
      </w:pPr>
      <w:r>
        <w:t>Figur</w:t>
      </w:r>
      <w:r>
        <w:t>e 6. Escalation action evidence mockup.</w:t>
      </w:r>
    </w:p>
    <w:p w:rsidR="008D056D" w:rsidRDefault="007950A6">
      <w:pPr>
        <w:pStyle w:val="Heading2"/>
      </w:pPr>
      <w:r>
        <w:t>Reason for Escalation</w:t>
      </w:r>
    </w:p>
    <w:p w:rsidR="008D056D" w:rsidRDefault="007950A6">
      <w:r>
        <w:t xml:space="preserve">Multiple indicators of compromise detected including </w:t>
      </w:r>
      <w:bookmarkStart w:id="0" w:name="_GoBack"/>
      <w:r>
        <w:t>ransomware activity and C2 communications</w:t>
      </w:r>
      <w:bookmarkEnd w:id="0"/>
      <w:r>
        <w:t>, with additional evidence of possible malware delivery, authentication abuse, suspicious outbound t</w:t>
      </w:r>
      <w:r>
        <w:t>raffic, reconnaissance, and DDoS/flood activity.</w:t>
      </w:r>
    </w:p>
    <w:p w:rsidR="008D056D" w:rsidRDefault="007950A6">
      <w:pPr>
        <w:pStyle w:val="Heading2"/>
      </w:pPr>
      <w:r>
        <w:t>Severity Justification</w:t>
      </w:r>
    </w:p>
    <w:p w:rsidR="008D056D" w:rsidRDefault="007950A6">
      <w:r>
        <w:t>CRITICAL due to active file-encryption/ransomware indicators (packets 11–12) together with external communication/C2 indicators (packets 15–16 and 25). In a production environment, con</w:t>
      </w:r>
      <w:r>
        <w:t>firmation of these behaviors would warrant immediate containment and Level II handling because of potential confidentiality, integrity, and availability impact.</w:t>
      </w:r>
    </w:p>
    <w:p w:rsidR="008D056D" w:rsidRDefault="007950A6">
      <w:pPr>
        <w:pStyle w:val="Heading1"/>
      </w:pPr>
      <w:r>
        <w:t>6. Recommended Level II Actions</w:t>
      </w:r>
    </w:p>
    <w:p w:rsidR="008D056D" w:rsidRDefault="007950A6">
      <w:pPr>
        <w:pStyle w:val="ListBullet"/>
      </w:pPr>
      <w:r>
        <w:t>Contain and preserve evidence from hosts associated with ransom</w:t>
      </w:r>
      <w:r>
        <w:t>ware/malware/C2 indicators, especially 192.168.1.50, 192.168.1.70 and 192.168.1.30.</w:t>
      </w:r>
    </w:p>
    <w:p w:rsidR="008D056D" w:rsidRDefault="007950A6">
      <w:pPr>
        <w:pStyle w:val="ListBullet"/>
      </w:pPr>
      <w:r>
        <w:t>Review SSH authentication logs for 192.168.1.20 and 192.168.1.98; determine whether any credentials were successfully used.</w:t>
      </w:r>
    </w:p>
    <w:p w:rsidR="008D056D" w:rsidRDefault="007950A6">
      <w:pPr>
        <w:pStyle w:val="ListBullet"/>
      </w:pPr>
      <w:r>
        <w:t>Validate external IPs/domains using approved thr</w:t>
      </w:r>
      <w:r>
        <w:t>eat-intelligence, DNS, proxy, firewall and EDR sources.</w:t>
      </w:r>
    </w:p>
    <w:p w:rsidR="008D056D" w:rsidRDefault="007950A6">
      <w:pPr>
        <w:pStyle w:val="ListBullet"/>
      </w:pPr>
      <w:r>
        <w:t>Investigate packet 19's HTTP POST to determine what data was uploaded and whether the transfer was authorized.</w:t>
      </w:r>
    </w:p>
    <w:p w:rsidR="008D056D" w:rsidRDefault="007950A6">
      <w:pPr>
        <w:pStyle w:val="ListBullet"/>
      </w:pPr>
      <w:r>
        <w:t>Scope SMB encryption activity around packets 11–12 and 24; preserve affected files, ranso</w:t>
      </w:r>
      <w:r>
        <w:t>m-note artifacts, hashes and endpoint timelines.</w:t>
      </w:r>
    </w:p>
    <w:p w:rsidR="008D056D" w:rsidRDefault="007950A6">
      <w:pPr>
        <w:pStyle w:val="ListBullet"/>
      </w:pPr>
      <w:r>
        <w:t>Search for additional C2 connections to 103.21.244.0 and malware-related traffic to 45.33.32.156.</w:t>
      </w:r>
    </w:p>
    <w:p w:rsidR="008D056D" w:rsidRDefault="007950A6">
      <w:pPr>
        <w:pStyle w:val="ListBullet"/>
      </w:pPr>
      <w:r>
        <w:t>Assess broadcast/flood activity for actual service degradation and identify originating systems.</w:t>
      </w:r>
    </w:p>
    <w:p w:rsidR="008D056D" w:rsidRDefault="007950A6">
      <w:pPr>
        <w:pStyle w:val="Heading1"/>
      </w:pPr>
      <w:r>
        <w:t>7. Final Con</w:t>
      </w:r>
      <w:r>
        <w:t>clusion</w:t>
      </w:r>
    </w:p>
    <w:p w:rsidR="008D056D" w:rsidRDefault="007950A6">
      <w:r>
        <w:t>The exact 28-packet table contains multiple concurrent indicators spanning credential attacks, malware delivery, suspicious outbound communication, ransomware behavior, C2 activity, reconnaissance, and DDoS/flood traffic. The ransomware and C2 indi</w:t>
      </w:r>
      <w:r>
        <w:t xml:space="preserve">cators are the primary escalation drivers in this training scenario. The incident should be escalated to Level II for </w:t>
      </w:r>
      <w:r>
        <w:lastRenderedPageBreak/>
        <w:t>containment validation, endpoint and network scoping, credential review, external-destination validation, and forensic evidence preservati</w:t>
      </w:r>
      <w:r>
        <w:t>on.</w:t>
      </w:r>
    </w:p>
    <w:p w:rsidR="008D056D" w:rsidRDefault="007950A6">
      <w:r>
        <w:rPr>
          <w:b/>
        </w:rPr>
        <w:t xml:space="preserve">Evidence note: </w:t>
      </w:r>
      <w:r>
        <w:t>The Wireshark, ticket, and escalation screenshots in this document are clearly labeled training reconstructions/mockups. They are not screenshots captured from a live ticketing system.</w:t>
      </w:r>
    </w:p>
    <w:sectPr w:rsidR="008D056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50A6"/>
    <w:rsid w:val="008D05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7950717-4882-499B-B036-3551DAF1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ED0067-D4BA-440B-91C0-5DF5C48B3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Pjap Olivar</cp:lastModifiedBy>
  <cp:revision>2</cp:revision>
  <dcterms:created xsi:type="dcterms:W3CDTF">2026-10-22T06:30:00Z</dcterms:created>
  <dcterms:modified xsi:type="dcterms:W3CDTF">2026-10-22T06:30:00Z</dcterms:modified>
  <cp:category/>
</cp:coreProperties>
</file>