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TRC Master Audit File</w:t>
      </w:r>
    </w:p>
    <w:p>
      <w:pPr>
        <w:jc w:val="center"/>
      </w:pPr>
      <w:r>
        <w:rPr>
          <w:i/>
          <w:sz w:val="24"/>
        </w:rPr>
        <w:t>Maintained by Judge Dredd on behalf of the Governor</w:t>
      </w:r>
    </w:p>
    <w:p>
      <w:pPr>
        <w:jc w:val="center"/>
      </w:pPr>
      <w:r>
        <w:rPr>
          <w:sz w:val="22"/>
        </w:rPr>
        <w:t>Jurisdiction: EU (Malta) — GDPR + EU AI Act</w:t>
      </w:r>
    </w:p>
    <w:p>
      <w:pPr>
        <w:jc w:val="center"/>
      </w:pPr>
      <w:r>
        <w:t>Generated: 2026-05-22</w:t>
      </w:r>
    </w:p>
    <w:p/>
    <w:p>
      <w:r>
        <w:t>This document is the single source of truth for what TRC is running, who owns each piece, which third-party tools touch TRC personal data, and how TRC meets each applicable EU obligation. It is regenerated in full every time an agent, job, project, dataset, integration, or compliance artefact is added, changed, or retired. The Alfred / Polymarket bot is intentionally excluded from this audit.</w:t>
      </w:r>
    </w:p>
    <w:p>
      <w:r>
        <w:br w:type="page"/>
      </w:r>
    </w:p>
    <w:p>
      <w:r>
        <w:t>---</w:t>
      </w:r>
    </w:p>
    <w:p>
      <w:r>
        <w:t>type: posture</w:t>
      </w:r>
    </w:p>
    <w:p>
      <w:r>
        <w:t>last_updated: 2026-05-22</w:t>
      </w:r>
    </w:p>
    <w:p>
      <w:r>
        <w:t>governor: Jonathan</w:t>
      </w:r>
    </w:p>
    <w:p>
      <w:r>
        <w:t>---</w:t>
      </w:r>
    </w:p>
    <w:p/>
    <w:p>
      <w:pPr>
        <w:pStyle w:val="Heading1"/>
      </w:pPr>
      <w:r>
        <w:t>Compliance Posture — TRC, as of 2026-05-22</w:t>
      </w:r>
    </w:p>
    <w:p/>
    <w:p>
      <w:r>
        <w:rPr>
          <w:i/>
          <w:color w:val="555555"/>
        </w:rPr>
        <w:t>One-page status report for the Governor. Maintained by Judge Dredd. Read this **before** Master Audit when you only have five minutes.</w:t>
      </w:r>
    </w:p>
    <w:p/>
    <w:p>
      <w:pPr>
        <w:pStyle w:val="Heading2"/>
      </w:pPr>
      <w:r>
        <w:t>Headline</w:t>
      </w:r>
    </w:p>
    <w:p/>
    <w:p>
      <w:r>
        <w:t xml:space="preserve">TRC is an </w:t>
      </w:r>
      <w:r>
        <w:rPr>
          <w:b/>
        </w:rPr>
        <w:t>EU-established SME (Malta)</w:t>
      </w:r>
      <w:r>
        <w:t xml:space="preserve"> operating AI agents that process personal data — including data that likely brings at least one system within scope of the EU AI Act's </w:t>
      </w:r>
      <w:r>
        <w:rPr>
          <w:b/>
        </w:rPr>
        <w:t>high-risk</w:t>
      </w:r>
      <w:r>
        <w:t xml:space="preserve"> tier (Annex III §4, employment/recruitment). </w:t>
      </w:r>
      <w:r>
        <w:rPr>
          <w:b/>
        </w:rPr>
        <w:t>Material obligations apply from 2 August 2026</w:t>
      </w:r>
      <w:r>
        <w:t xml:space="preserve"> and several GDPR obligations are already in force and currently un-evidenced.</w:t>
      </w:r>
    </w:p>
    <w:p/>
    <w:p>
      <w:pPr>
        <w:pStyle w:val="Heading2"/>
      </w:pPr>
      <w:r>
        <w:t>Status by obligation</w:t>
      </w:r>
    </w:p>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w:t>
            </w:r>
          </w:p>
        </w:tc>
        <w:tc>
          <w:tcPr>
            <w:tcW w:type="dxa" w:w="1440"/>
          </w:tcPr>
          <w:p>
            <w:r>
              <w:rPr>
                <w:b/>
              </w:rPr>
            </w:r>
            <w:r>
              <w:rPr>
                <w:b/>
              </w:rPr>
              <w:t>Obligation</w:t>
            </w:r>
          </w:p>
        </w:tc>
        <w:tc>
          <w:tcPr>
            <w:tcW w:type="dxa" w:w="1440"/>
          </w:tcPr>
          <w:p>
            <w:r>
              <w:rPr>
                <w:b/>
              </w:rPr>
            </w:r>
            <w:r>
              <w:rPr>
                <w:b/>
              </w:rPr>
              <w:t>Source</w:t>
            </w:r>
          </w:p>
        </w:tc>
        <w:tc>
          <w:tcPr>
            <w:tcW w:type="dxa" w:w="1440"/>
          </w:tcPr>
          <w:p>
            <w:r>
              <w:rPr>
                <w:b/>
              </w:rPr>
            </w:r>
            <w:r>
              <w:rPr>
                <w:b/>
              </w:rPr>
              <w:t>Effective</w:t>
            </w:r>
          </w:p>
        </w:tc>
        <w:tc>
          <w:tcPr>
            <w:tcW w:type="dxa" w:w="1440"/>
          </w:tcPr>
          <w:p>
            <w:r>
              <w:rPr>
                <w:b/>
              </w:rPr>
            </w:r>
            <w:r>
              <w:rPr>
                <w:b/>
              </w:rPr>
              <w:t>Evidence in vault</w:t>
            </w:r>
          </w:p>
        </w:tc>
        <w:tc>
          <w:tcPr>
            <w:tcW w:type="dxa" w:w="1440"/>
          </w:tcPr>
          <w:p>
            <w:r>
              <w:rPr>
                <w:b/>
              </w:rPr>
            </w:r>
            <w:r>
              <w:rPr>
                <w:b/>
              </w:rPr>
              <w:t>Posture</w:t>
            </w:r>
          </w:p>
        </w:tc>
      </w:tr>
      <w:tr>
        <w:tc>
          <w:tcPr>
            <w:tcW w:type="dxa" w:w="1440"/>
          </w:tcPr>
          <w:p>
            <w:r/>
            <w:r>
              <w:t>1</w:t>
            </w:r>
          </w:p>
        </w:tc>
        <w:tc>
          <w:tcPr>
            <w:tcW w:type="dxa" w:w="1440"/>
          </w:tcPr>
          <w:p>
            <w:r/>
            <w:r>
              <w:t>AI literacy programme</w:t>
            </w:r>
          </w:p>
        </w:tc>
        <w:tc>
          <w:tcPr>
            <w:tcW w:type="dxa" w:w="1440"/>
          </w:tcPr>
          <w:p>
            <w:r/>
            <w:r>
              <w:t>[[Article 4 - AI Literacy\</w:t>
            </w:r>
          </w:p>
        </w:tc>
        <w:tc>
          <w:tcPr>
            <w:tcW w:type="dxa" w:w="1440"/>
          </w:tcPr>
          <w:p>
            <w:r/>
            <w:r>
              <w:t>AI Act Art. 4]]</w:t>
            </w:r>
          </w:p>
        </w:tc>
        <w:tc>
          <w:tcPr>
            <w:tcW w:type="dxa" w:w="1440"/>
          </w:tcPr>
          <w:p>
            <w:r/>
            <w:r>
              <w:t xml:space="preserve">2 Feb 2025 — </w:t>
            </w:r>
            <w:r>
              <w:rPr>
                <w:b/>
              </w:rPr>
              <w:t>in force</w:t>
            </w:r>
          </w:p>
        </w:tc>
        <w:tc>
          <w:tcPr>
            <w:tcW w:type="dxa" w:w="1440"/>
          </w:tcPr>
          <w:p>
            <w:r/>
            <w:r>
              <w:t>`Compliance/08 Policies/AI Literacy Programme.md` (outline only)</w:t>
            </w:r>
          </w:p>
        </w:tc>
      </w:tr>
      <w:tr>
        <w:tc>
          <w:tcPr>
            <w:tcW w:type="dxa" w:w="1440"/>
          </w:tcPr>
          <w:p>
            <w:r/>
            <w:r>
              <w:t>2</w:t>
            </w:r>
          </w:p>
        </w:tc>
        <w:tc>
          <w:tcPr>
            <w:tcW w:type="dxa" w:w="1440"/>
          </w:tcPr>
          <w:p>
            <w:r/>
            <w:r>
              <w:t>AI System Register with risk classification</w:t>
            </w:r>
          </w:p>
        </w:tc>
        <w:tc>
          <w:tcPr>
            <w:tcW w:type="dxa" w:w="1440"/>
          </w:tcPr>
          <w:p>
            <w:r/>
            <w:r>
              <w:t>[[Article 26 - Deployer Obligations\</w:t>
            </w:r>
          </w:p>
        </w:tc>
        <w:tc>
          <w:tcPr>
            <w:tcW w:type="dxa" w:w="1440"/>
          </w:tcPr>
          <w:p>
            <w:r/>
            <w:r>
              <w:t>AI Act Art. 26]] preparation</w:t>
            </w:r>
          </w:p>
        </w:tc>
        <w:tc>
          <w:tcPr>
            <w:tcW w:type="dxa" w:w="1440"/>
          </w:tcPr>
          <w:p>
            <w:r/>
            <w:r>
              <w:t>from 2 Aug 2026</w:t>
            </w:r>
          </w:p>
        </w:tc>
        <w:tc>
          <w:tcPr>
            <w:tcW w:type="dxa" w:w="1440"/>
          </w:tcPr>
          <w:p>
            <w:r/>
            <w:r>
              <w:t>`Compliance/02 AI System Register/`</w:t>
            </w:r>
          </w:p>
        </w:tc>
      </w:tr>
      <w:tr>
        <w:tc>
          <w:tcPr>
            <w:tcW w:type="dxa" w:w="1440"/>
          </w:tcPr>
          <w:p>
            <w:r/>
            <w:r>
              <w:t>3</w:t>
            </w:r>
          </w:p>
        </w:tc>
        <w:tc>
          <w:tcPr>
            <w:tcW w:type="dxa" w:w="1440"/>
          </w:tcPr>
          <w:p>
            <w:r/>
            <w:r>
              <w:t>Transparency to users interacting with AI</w:t>
            </w:r>
          </w:p>
        </w:tc>
        <w:tc>
          <w:tcPr>
            <w:tcW w:type="dxa" w:w="1440"/>
          </w:tcPr>
          <w:p>
            <w:r/>
            <w:r>
              <w:t>[[Article 50 - AI Transparency\</w:t>
            </w:r>
          </w:p>
        </w:tc>
        <w:tc>
          <w:tcPr>
            <w:tcW w:type="dxa" w:w="1440"/>
          </w:tcPr>
          <w:p>
            <w:r/>
            <w:r>
              <w:t>AI Act Art. 50]]</w:t>
            </w:r>
          </w:p>
        </w:tc>
        <w:tc>
          <w:tcPr>
            <w:tcW w:type="dxa" w:w="1440"/>
          </w:tcPr>
          <w:p>
            <w:r/>
            <w:r>
              <w:t>2 Aug 2026</w:t>
            </w:r>
          </w:p>
        </w:tc>
        <w:tc>
          <w:tcPr>
            <w:tcW w:type="dxa" w:w="1440"/>
          </w:tcPr>
          <w:p>
            <w:r/>
            <w:r>
              <w:t>`Compliance/09 Notices/AI Transparency Notice.md` (template)</w:t>
            </w:r>
          </w:p>
        </w:tc>
      </w:tr>
      <w:tr>
        <w:tc>
          <w:tcPr>
            <w:tcW w:type="dxa" w:w="1440"/>
          </w:tcPr>
          <w:p>
            <w:r/>
            <w:r>
              <w:t>4</w:t>
            </w:r>
          </w:p>
        </w:tc>
        <w:tc>
          <w:tcPr>
            <w:tcW w:type="dxa" w:w="1440"/>
          </w:tcPr>
          <w:p>
            <w:r/>
            <w:r>
              <w:t>Inform workers before deploying high-risk AI affecting them</w:t>
            </w:r>
          </w:p>
        </w:tc>
        <w:tc>
          <w:tcPr>
            <w:tcW w:type="dxa" w:w="1440"/>
          </w:tcPr>
          <w:p>
            <w:r/>
            <w:r>
              <w:t>AI Act Art. 26(7)</w:t>
            </w:r>
          </w:p>
        </w:tc>
        <w:tc>
          <w:tcPr>
            <w:tcW w:type="dxa" w:w="1440"/>
          </w:tcPr>
          <w:p>
            <w:r/>
            <w:r>
              <w:t>2 Aug 2026</w:t>
            </w:r>
          </w:p>
        </w:tc>
        <w:tc>
          <w:tcPr>
            <w:tcW w:type="dxa" w:w="1440"/>
          </w:tcPr>
          <w:p>
            <w:r/>
            <w:r>
              <w:t>`Compliance/09 Notices/Worker Notification.md` (template)</w:t>
            </w:r>
          </w:p>
        </w:tc>
        <w:tc>
          <w:tcPr>
            <w:tcW w:type="dxa" w:w="1440"/>
          </w:tcPr>
          <w:p>
            <w:r/>
            <w:r>
              <w:rPr>
                <w:b/>
              </w:rPr>
              <w:t>GAP</w:t>
            </w:r>
            <w:r>
              <w:t xml:space="preserve"> — Beverly and any worker whose data Sam reads must be informed in writing</w:t>
            </w:r>
          </w:p>
        </w:tc>
      </w:tr>
      <w:tr>
        <w:tc>
          <w:tcPr>
            <w:tcW w:type="dxa" w:w="1440"/>
          </w:tcPr>
          <w:p>
            <w:r/>
            <w:r>
              <w:t>5</w:t>
            </w:r>
          </w:p>
        </w:tc>
        <w:tc>
          <w:tcPr>
            <w:tcW w:type="dxa" w:w="1440"/>
          </w:tcPr>
          <w:p>
            <w:r/>
            <w:r>
              <w:t>Human oversight by competent personnel</w:t>
            </w:r>
          </w:p>
        </w:tc>
        <w:tc>
          <w:tcPr>
            <w:tcW w:type="dxa" w:w="1440"/>
          </w:tcPr>
          <w:p>
            <w:r/>
            <w:r>
              <w:t>AI Act Art. 26(2)</w:t>
            </w:r>
          </w:p>
        </w:tc>
        <w:tc>
          <w:tcPr>
            <w:tcW w:type="dxa" w:w="1440"/>
          </w:tcPr>
          <w:p>
            <w:r/>
            <w:r>
              <w:t>2 Aug 2026</w:t>
            </w:r>
          </w:p>
        </w:tc>
        <w:tc>
          <w:tcPr>
            <w:tcW w:type="dxa" w:w="1440"/>
          </w:tcPr>
          <w:p>
            <w:r/>
            <w:r>
              <w:t>`Compliance/02 AI System Register/Sam.md`</w:t>
            </w:r>
          </w:p>
        </w:tc>
        <w:tc>
          <w:tcPr>
            <w:tcW w:type="dxa" w:w="1440"/>
          </w:tcPr>
          <w:p>
            <w:r/>
            <w:r>
              <w:rPr>
                <w:b/>
              </w:rPr>
              <w:t>DRAFT</w:t>
            </w:r>
            <w:r>
              <w:t xml:space="preserve"> — Governor named as oversight authority; competence evidence pending</w:t>
            </w:r>
          </w:p>
        </w:tc>
      </w:tr>
      <w:tr>
        <w:tc>
          <w:tcPr>
            <w:tcW w:type="dxa" w:w="1440"/>
          </w:tcPr>
          <w:p>
            <w:r/>
            <w:r>
              <w:t>6</w:t>
            </w:r>
          </w:p>
        </w:tc>
        <w:tc>
          <w:tcPr>
            <w:tcW w:type="dxa" w:w="1440"/>
          </w:tcPr>
          <w:p>
            <w:r/>
            <w:r>
              <w:t>Keep AI system logs ≥ 6 months</w:t>
            </w:r>
          </w:p>
        </w:tc>
        <w:tc>
          <w:tcPr>
            <w:tcW w:type="dxa" w:w="1440"/>
          </w:tcPr>
          <w:p>
            <w:r/>
            <w:r>
              <w:t>AI Act Art. 26(6)</w:t>
            </w:r>
          </w:p>
        </w:tc>
        <w:tc>
          <w:tcPr>
            <w:tcW w:type="dxa" w:w="1440"/>
          </w:tcPr>
          <w:p>
            <w:r/>
            <w:r>
              <w:t>2 Aug 2026</w:t>
            </w:r>
          </w:p>
        </w:tc>
        <w:tc>
          <w:tcPr>
            <w:tcW w:type="dxa" w:w="1440"/>
          </w:tcPr>
          <w:p>
            <w:r/>
            <w:r>
              <w:t>`Projects/` Sam note</w:t>
            </w:r>
          </w:p>
        </w:tc>
        <w:tc>
          <w:tcPr>
            <w:tcW w:type="dxa" w:w="1440"/>
          </w:tcPr>
          <w:p>
            <w:r/>
            <w:r>
              <w:rPr>
                <w:b/>
              </w:rPr>
              <w:t>GAP</w:t>
            </w:r>
            <w:r>
              <w:t xml:space="preserve"> — confirm Railway retention; current default may be shorter</w:t>
            </w:r>
          </w:p>
        </w:tc>
      </w:tr>
      <w:tr>
        <w:tc>
          <w:tcPr>
            <w:tcW w:type="dxa" w:w="1440"/>
          </w:tcPr>
          <w:p>
            <w:r/>
            <w:r>
              <w:t>7</w:t>
            </w:r>
          </w:p>
        </w:tc>
        <w:tc>
          <w:tcPr>
            <w:tcW w:type="dxa" w:w="1440"/>
          </w:tcPr>
          <w:p>
            <w:r/>
            <w:r>
              <w:t>Record of Processing Activities</w:t>
            </w:r>
          </w:p>
        </w:tc>
        <w:tc>
          <w:tcPr>
            <w:tcW w:type="dxa" w:w="1440"/>
          </w:tcPr>
          <w:p>
            <w:r/>
            <w:r>
              <w:t>[[GDPR Article 30 - ROPA\</w:t>
            </w:r>
          </w:p>
        </w:tc>
        <w:tc>
          <w:tcPr>
            <w:tcW w:type="dxa" w:w="1440"/>
          </w:tcPr>
          <w:p>
            <w:r/>
            <w:r>
              <w:t>GDPR Art. 30]]</w:t>
            </w:r>
          </w:p>
        </w:tc>
        <w:tc>
          <w:tcPr>
            <w:tcW w:type="dxa" w:w="1440"/>
          </w:tcPr>
          <w:p>
            <w:r/>
            <w:r>
              <w:t>in force</w:t>
            </w:r>
          </w:p>
        </w:tc>
        <w:tc>
          <w:tcPr>
            <w:tcW w:type="dxa" w:w="1440"/>
          </w:tcPr>
          <w:p>
            <w:r/>
            <w:r>
              <w:t>`Compliance/01 Records of Processing/`</w:t>
            </w:r>
          </w:p>
        </w:tc>
      </w:tr>
      <w:tr>
        <w:tc>
          <w:tcPr>
            <w:tcW w:type="dxa" w:w="1440"/>
          </w:tcPr>
          <w:p>
            <w:r/>
            <w:r>
              <w:t>8</w:t>
            </w:r>
          </w:p>
        </w:tc>
        <w:tc>
          <w:tcPr>
            <w:tcW w:type="dxa" w:w="1440"/>
          </w:tcPr>
          <w:p>
            <w:r/>
            <w:r>
              <w:t>DPIA where high-risk processing</w:t>
            </w:r>
          </w:p>
        </w:tc>
        <w:tc>
          <w:tcPr>
            <w:tcW w:type="dxa" w:w="1440"/>
          </w:tcPr>
          <w:p>
            <w:r/>
            <w:r>
              <w:t>[[GDPR Article 35 - DPIA\</w:t>
            </w:r>
          </w:p>
        </w:tc>
        <w:tc>
          <w:tcPr>
            <w:tcW w:type="dxa" w:w="1440"/>
          </w:tcPr>
          <w:p>
            <w:r/>
            <w:r>
              <w:t>GDPR Art. 35]] + AI Act Art. 26(9)</w:t>
            </w:r>
          </w:p>
        </w:tc>
        <w:tc>
          <w:tcPr>
            <w:tcW w:type="dxa" w:w="1440"/>
          </w:tcPr>
          <w:p>
            <w:r/>
            <w:r>
              <w:t>in force / 2 Aug 2026</w:t>
            </w:r>
          </w:p>
        </w:tc>
        <w:tc>
          <w:tcPr>
            <w:tcW w:type="dxa" w:w="1440"/>
          </w:tcPr>
          <w:p>
            <w:r/>
            <w:r>
              <w:t>`Compliance/03 DPIAs/`</w:t>
            </w:r>
          </w:p>
        </w:tc>
      </w:tr>
      <w:tr>
        <w:tc>
          <w:tcPr>
            <w:tcW w:type="dxa" w:w="1440"/>
          </w:tcPr>
          <w:p>
            <w:r/>
            <w:r>
              <w:t>9</w:t>
            </w:r>
          </w:p>
        </w:tc>
        <w:tc>
          <w:tcPr>
            <w:tcW w:type="dxa" w:w="1440"/>
          </w:tcPr>
          <w:p>
            <w:r/>
            <w:r>
              <w:t>Processor agreements (DPA) per vendor</w:t>
            </w:r>
          </w:p>
        </w:tc>
        <w:tc>
          <w:tcPr>
            <w:tcW w:type="dxa" w:w="1440"/>
          </w:tcPr>
          <w:p>
            <w:r/>
            <w:r>
              <w:t>[[GDPR Article 28 - Processors\</w:t>
            </w:r>
          </w:p>
        </w:tc>
        <w:tc>
          <w:tcPr>
            <w:tcW w:type="dxa" w:w="1440"/>
          </w:tcPr>
          <w:p>
            <w:r/>
            <w:r>
              <w:t>GDPR Art. 28]]</w:t>
            </w:r>
          </w:p>
        </w:tc>
        <w:tc>
          <w:tcPr>
            <w:tcW w:type="dxa" w:w="1440"/>
          </w:tcPr>
          <w:p>
            <w:r/>
            <w:r>
              <w:t>in force</w:t>
            </w:r>
          </w:p>
        </w:tc>
        <w:tc>
          <w:tcPr>
            <w:tcW w:type="dxa" w:w="1440"/>
          </w:tcPr>
          <w:p>
            <w:r/>
            <w:r>
              <w:t>`Compliance/05 Processors and DPAs/Register.md`</w:t>
            </w:r>
          </w:p>
        </w:tc>
      </w:tr>
      <w:tr>
        <w:tc>
          <w:tcPr>
            <w:tcW w:type="dxa" w:w="1440"/>
          </w:tcPr>
          <w:p>
            <w:r/>
            <w:r>
              <w:t>10</w:t>
            </w:r>
          </w:p>
        </w:tc>
        <w:tc>
          <w:tcPr>
            <w:tcW w:type="dxa" w:w="1440"/>
          </w:tcPr>
          <w:p>
            <w:r/>
            <w:r>
              <w:t>Safeguards for transfers outside EU/EEA</w:t>
            </w:r>
          </w:p>
        </w:tc>
        <w:tc>
          <w:tcPr>
            <w:tcW w:type="dxa" w:w="1440"/>
          </w:tcPr>
          <w:p>
            <w:r/>
            <w:r>
              <w:t>[[GDPR Chapter V - International Transfers\</w:t>
            </w:r>
          </w:p>
        </w:tc>
        <w:tc>
          <w:tcPr>
            <w:tcW w:type="dxa" w:w="1440"/>
          </w:tcPr>
          <w:p>
            <w:r/>
            <w:r>
              <w:t>GDPR Ch. V]]</w:t>
            </w:r>
          </w:p>
        </w:tc>
        <w:tc>
          <w:tcPr>
            <w:tcW w:type="dxa" w:w="1440"/>
          </w:tcPr>
          <w:p>
            <w:r/>
            <w:r>
              <w:t>in force</w:t>
            </w:r>
          </w:p>
        </w:tc>
        <w:tc>
          <w:tcPr>
            <w:tcW w:type="dxa" w:w="1440"/>
          </w:tcPr>
          <w:p>
            <w:r/>
            <w:r>
              <w:t>`Compliance/04 International Transfers/Transfer Register.md`</w:t>
            </w:r>
          </w:p>
        </w:tc>
      </w:tr>
      <w:tr>
        <w:tc>
          <w:tcPr>
            <w:tcW w:type="dxa" w:w="1440"/>
          </w:tcPr>
          <w:p>
            <w:r/>
            <w:r>
              <w:t>11</w:t>
            </w:r>
          </w:p>
        </w:tc>
        <w:tc>
          <w:tcPr>
            <w:tcW w:type="dxa" w:w="1440"/>
          </w:tcPr>
          <w:p>
            <w:r/>
            <w:r>
              <w:t>Personal-data-breach procedure (72 h)</w:t>
            </w:r>
          </w:p>
        </w:tc>
        <w:tc>
          <w:tcPr>
            <w:tcW w:type="dxa" w:w="1440"/>
          </w:tcPr>
          <w:p>
            <w:r/>
            <w:r>
              <w:t>GDPR Art. 33</w:t>
            </w:r>
          </w:p>
        </w:tc>
        <w:tc>
          <w:tcPr>
            <w:tcW w:type="dxa" w:w="1440"/>
          </w:tcPr>
          <w:p>
            <w:r/>
            <w:r>
              <w:t>in force</w:t>
            </w:r>
          </w:p>
        </w:tc>
        <w:tc>
          <w:tcPr>
            <w:tcW w:type="dxa" w:w="1440"/>
          </w:tcPr>
          <w:p>
            <w:r/>
            <w:r>
              <w:t>`Compliance/07 Incidents/Procedure.md`</w:t>
            </w:r>
          </w:p>
        </w:tc>
        <w:tc>
          <w:tcPr>
            <w:tcW w:type="dxa" w:w="1440"/>
          </w:tcPr>
          <w:p>
            <w:r/>
            <w:r>
              <w:rPr>
                <w:b/>
              </w:rPr>
              <w:t>DRAFT</w:t>
            </w:r>
            <w:r>
              <w:t xml:space="preserve"> — procedure written, no tabletop exercise run</w:t>
            </w:r>
          </w:p>
        </w:tc>
      </w:tr>
      <w:tr>
        <w:tc>
          <w:tcPr>
            <w:tcW w:type="dxa" w:w="1440"/>
          </w:tcPr>
          <w:p>
            <w:r/>
            <w:r>
              <w:t>12</w:t>
            </w:r>
          </w:p>
        </w:tc>
        <w:tc>
          <w:tcPr>
            <w:tcW w:type="dxa" w:w="1440"/>
          </w:tcPr>
          <w:p>
            <w:r/>
            <w:r>
              <w:t>Data-subject-rights procedure</w:t>
            </w:r>
          </w:p>
        </w:tc>
        <w:tc>
          <w:tcPr>
            <w:tcW w:type="dxa" w:w="1440"/>
          </w:tcPr>
          <w:p>
            <w:r/>
            <w:r>
              <w:t>GDPR Arts. 12-22</w:t>
            </w:r>
          </w:p>
        </w:tc>
        <w:tc>
          <w:tcPr>
            <w:tcW w:type="dxa" w:w="1440"/>
          </w:tcPr>
          <w:p>
            <w:r/>
            <w:r>
              <w:t>in force</w:t>
            </w:r>
          </w:p>
        </w:tc>
        <w:tc>
          <w:tcPr>
            <w:tcW w:type="dxa" w:w="1440"/>
          </w:tcPr>
          <w:p>
            <w:r/>
            <w:r>
              <w:t>`Compliance/06 Data Subject Rights/Procedure.md`</w:t>
            </w:r>
          </w:p>
        </w:tc>
        <w:tc>
          <w:tcPr>
            <w:tcW w:type="dxa" w:w="1440"/>
          </w:tcPr>
          <w:p>
            <w:r/>
            <w:r>
              <w:rPr>
                <w:b/>
              </w:rPr>
              <w:t>DRAFT</w:t>
            </w:r>
          </w:p>
        </w:tc>
      </w:tr>
      <w:tr>
        <w:tc>
          <w:tcPr>
            <w:tcW w:type="dxa" w:w="1440"/>
          </w:tcPr>
          <w:p>
            <w:r/>
            <w:r>
              <w:t>13</w:t>
            </w:r>
          </w:p>
        </w:tc>
        <w:tc>
          <w:tcPr>
            <w:tcW w:type="dxa" w:w="1440"/>
          </w:tcPr>
          <w:p>
            <w:r/>
            <w:r>
              <w:t>DPO appointment assessment</w:t>
            </w:r>
          </w:p>
        </w:tc>
        <w:tc>
          <w:tcPr>
            <w:tcW w:type="dxa" w:w="1440"/>
          </w:tcPr>
          <w:p>
            <w:r/>
            <w:r>
              <w:t>GDPR Art. 37</w:t>
            </w:r>
          </w:p>
        </w:tc>
        <w:tc>
          <w:tcPr>
            <w:tcW w:type="dxa" w:w="1440"/>
          </w:tcPr>
          <w:p>
            <w:r/>
            <w:r>
              <w:t>in force</w:t>
            </w:r>
          </w:p>
        </w:tc>
        <w:tc>
          <w:tcPr>
            <w:tcW w:type="dxa" w:w="1440"/>
          </w:tcPr>
          <w:p>
            <w:r/>
            <w:r>
              <w:t>`Compliance/08 Policies/DPO Assessment.md`</w:t>
            </w:r>
          </w:p>
        </w:tc>
        <w:tc>
          <w:tcPr>
            <w:tcW w:type="dxa" w:w="1440"/>
          </w:tcPr>
          <w:p>
            <w:r/>
            <w:r>
              <w:rPr>
                <w:b/>
              </w:rPr>
              <w:t>OPEN QUESTION</w:t>
            </w:r>
            <w:r>
              <w:t xml:space="preserve"> — recruitment data processing may trigger mandatory appointment</w:t>
            </w:r>
          </w:p>
        </w:tc>
      </w:tr>
      <w:tr>
        <w:tc>
          <w:tcPr>
            <w:tcW w:type="dxa" w:w="1440"/>
          </w:tcPr>
          <w:p>
            <w:r/>
            <w:r>
              <w:t>14</w:t>
            </w:r>
          </w:p>
        </w:tc>
        <w:tc>
          <w:tcPr>
            <w:tcW w:type="dxa" w:w="1440"/>
          </w:tcPr>
          <w:p>
            <w:r/>
            <w:r>
              <w:t>Maltese IDPC controller registration / contact</w:t>
            </w:r>
          </w:p>
        </w:tc>
        <w:tc>
          <w:tcPr>
            <w:tcW w:type="dxa" w:w="1440"/>
          </w:tcPr>
          <w:p>
            <w:r/>
            <w:r>
              <w:t>Maltese DPA</w:t>
            </w:r>
          </w:p>
        </w:tc>
        <w:tc>
          <w:tcPr>
            <w:tcW w:type="dxa" w:w="1440"/>
          </w:tcPr>
          <w:p>
            <w:r/>
            <w:r>
              <w:t>in force</w:t>
            </w:r>
          </w:p>
        </w:tc>
        <w:tc>
          <w:tcPr>
            <w:tcW w:type="dxa" w:w="1440"/>
          </w:tcPr>
          <w:p>
            <w:r/>
            <w:r>
              <w:t>n/a</w:t>
            </w:r>
          </w:p>
        </w:tc>
        <w:tc>
          <w:tcPr>
            <w:tcW w:type="dxa" w:w="1440"/>
          </w:tcPr>
          <w:p>
            <w:r/>
            <w:r>
              <w:rPr>
                <w:b/>
              </w:rPr>
              <w:t>OPEN QUESTION</w:t>
            </w:r>
            <w:r>
              <w:t xml:space="preserve"> — confirm registration status with IDPC</w:t>
            </w:r>
          </w:p>
        </w:tc>
      </w:tr>
    </w:tbl>
    <w:p/>
    <w:p>
      <w:pPr>
        <w:pStyle w:val="Heading2"/>
      </w:pPr>
      <w:r>
        <w:t>Headline risks if not addressed by 2 August 2026</w:t>
      </w:r>
    </w:p>
    <w:p/>
    <w:p>
      <w:pPr>
        <w:pStyle w:val="ListBullet"/>
      </w:pPr>
      <w:r>
        <w:rPr>
          <w:b/>
        </w:rPr>
        <w:t>Article 50 (transparency).</w:t>
      </w:r>
      <w:r>
        <w:t xml:space="preserve"> A user messaging Sam on WhatsApp who is not told they are interacting with AI is a clear, easy-to-prove infringement. Fines under Art. 99: up to </w:t>
      </w:r>
      <w:r>
        <w:rPr>
          <w:b/>
        </w:rPr>
        <w:t>€15 m or 3% of global turnover</w:t>
      </w:r>
      <w:r>
        <w:t xml:space="preserve"> (whichever is higher — for SMEs, capped at the lower).</w:t>
      </w:r>
    </w:p>
    <w:p>
      <w:pPr>
        <w:pStyle w:val="ListBullet"/>
      </w:pPr>
      <w:r>
        <w:rPr>
          <w:b/>
        </w:rPr>
        <w:t>Article 26 (deployer obligations).</w:t>
      </w:r>
      <w:r>
        <w:t xml:space="preserve"> Same penalty band. The most visible deliverables a regulator will ask for: the risk classification, the DPIA, the worker notice, the log-retention evidence.</w:t>
      </w:r>
    </w:p>
    <w:p>
      <w:pPr>
        <w:pStyle w:val="ListBullet"/>
      </w:pPr>
      <w:r>
        <w:rPr>
          <w:b/>
        </w:rPr>
        <w:t>GDPR Chapter V (transfers).</w:t>
      </w:r>
      <w:r>
        <w:t xml:space="preserve"> US transfers without SCCs are an ongoing enforcement priority. The recent EDPB action history (Meta, Uber) shows supervisory authorities will fine on this even where no breach occurred.</w:t>
      </w:r>
    </w:p>
    <w:p/>
    <w:p>
      <w:pPr>
        <w:pStyle w:val="Heading2"/>
      </w:pPr>
      <w:r>
        <w:t>What the Governor needs to do next (priority order)</w:t>
      </w:r>
    </w:p>
    <w:p/>
    <w:p>
      <w:r>
        <w:t xml:space="preserve">1. </w:t>
      </w:r>
      <w:r>
        <w:rPr>
          <w:b/>
        </w:rPr>
        <w:t>Confirm Sam's classification</w:t>
      </w:r>
      <w:r>
        <w:t xml:space="preserve"> — is it used (or could it be used) for candidate evaluation, recruitment ranking, or work-related decisions? See `Compliance/02 AI System Register/Sam.md`. If yes → Annex III §4 high-risk and the full Article 26 stack applies.</w:t>
      </w:r>
    </w:p>
    <w:p>
      <w:r>
        <w:t xml:space="preserve">2. </w:t>
      </w:r>
      <w:r>
        <w:rPr>
          <w:b/>
        </w:rPr>
        <w:t>Run the DPO assessment.</w:t>
      </w:r>
      <w:r>
        <w:t xml:space="preserve"> Tick the test in `Compliance/08 Policies/DPO Assessment.md`. If positive, appoint and notify the IDPC.</w:t>
      </w:r>
    </w:p>
    <w:p>
      <w:r>
        <w:t xml:space="preserve">3. </w:t>
      </w:r>
      <w:r>
        <w:rPr>
          <w:b/>
        </w:rPr>
        <w:t>Confirm signed DPAs exist</w:t>
      </w:r>
      <w:r>
        <w:t xml:space="preserve"> with Anthropic, Microsoft, Railway, Firefish, Odoo. Drop the PDFs into `Compliance/Evidence/`.</w:t>
      </w:r>
    </w:p>
    <w:p>
      <w:r>
        <w:t xml:space="preserve">4. </w:t>
      </w:r>
      <w:r>
        <w:rPr>
          <w:b/>
        </w:rPr>
        <w:t>Sign and serve the worker notification</w:t>
      </w:r>
      <w:r>
        <w:t xml:space="preserve"> (`Compliance/09 Notices/Worker Notification.md`) to Beverly and to any worker whose data Sam can read.</w:t>
      </w:r>
    </w:p>
    <w:p>
      <w:r>
        <w:t xml:space="preserve">5. </w:t>
      </w:r>
      <w:r>
        <w:rPr>
          <w:b/>
        </w:rPr>
        <w:t>Embed the AI transparency line</w:t>
      </w:r>
      <w:r>
        <w:t xml:space="preserve"> into Sam's first response on Telegram and WhatsApp. One sentence is enough. Done before 2 August 2026.</w:t>
      </w:r>
    </w:p>
    <w:p>
      <w:r>
        <w:t xml:space="preserve">6. </w:t>
      </w:r>
      <w:r>
        <w:rPr>
          <w:b/>
        </w:rPr>
        <w:t>Complete the DPIA</w:t>
      </w:r>
      <w:r>
        <w:t xml:space="preserve"> for Sam. Use the template in `Compliance/03 DPIAs/Template.md`.</w:t>
      </w:r>
    </w:p>
    <w:p>
      <w:r>
        <w:t xml:space="preserve">7. </w:t>
      </w:r>
      <w:r>
        <w:rPr>
          <w:b/>
        </w:rPr>
        <w:t>Set Railway log retention to ≥ 6 months</w:t>
      </w:r>
      <w:r>
        <w:t xml:space="preserve"> and capture the screenshot under `Compliance/Evidence/`.</w:t>
      </w:r>
    </w:p>
    <w:p/>
    <w:p>
      <w:pPr>
        <w:pStyle w:val="Heading2"/>
      </w:pPr>
      <w:r>
        <w:t>What is **not** a risk</w:t>
      </w:r>
    </w:p>
    <w:p/>
    <w:p>
      <w:pPr>
        <w:pStyle w:val="ListBullet"/>
      </w:pPr>
      <w:r>
        <w:t xml:space="preserve">Fundamental Rights Impact Assessment — applies primarily to public bodies and deployers of essential services. TRC as a private SME recruitment business is </w:t>
      </w:r>
      <w:r>
        <w:rPr>
          <w:b/>
        </w:rPr>
        <w:t>not in the targeted population</w:t>
      </w:r>
      <w:r>
        <w:t>. Document the non-applicability in `Compliance/03 DPIAs/` and move on.</w:t>
      </w:r>
    </w:p>
    <w:p>
      <w:pPr>
        <w:pStyle w:val="ListBullet"/>
      </w:pPr>
      <w:r>
        <w:t xml:space="preserve">The </w:t>
      </w:r>
      <w:r>
        <w:rPr>
          <w:b/>
        </w:rPr>
        <w:t>prohibited AI list</w:t>
      </w:r>
      <w:r>
        <w:t xml:space="preserve"> (AI Act Art. 5). TRC operates nothing in that tier.</w:t>
      </w:r>
    </w:p>
    <w:p>
      <w:pPr>
        <w:pStyle w:val="ListBullet"/>
      </w:pPr>
      <w:r>
        <w:rPr>
          <w:b/>
        </w:rPr>
        <w:t>NIS2.</w:t>
      </w:r>
      <w:r>
        <w:t xml:space="preserve"> TRC is not listed as an essential or important entity under Annex I/II based on current sectoral scope. Confirm with the Maltese cybersecurity authority and document the finding.</w:t>
      </w:r>
    </w:p>
    <w:p>
      <w:r>
        <w:br w:type="page"/>
      </w:r>
    </w:p>
    <w:p>
      <w:pPr>
        <w:pStyle w:val="Heading1"/>
        <w:jc w:val="left"/>
      </w:pPr>
      <w:r>
        <w:t>Master Audit</w:t>
      </w:r>
    </w:p>
    <w:p>
      <w:r>
        <w:t>---</w:t>
      </w:r>
    </w:p>
    <w:p>
      <w:r>
        <w:t>type: master</w:t>
      </w:r>
    </w:p>
    <w:p>
      <w:r>
        <w:t>governor: Jonathan</w:t>
      </w:r>
    </w:p>
    <w:p>
      <w:r>
        <w:t>last_updated: 2026-05-22</w:t>
      </w:r>
    </w:p>
    <w:p>
      <w:r>
        <w:t>auditor: Judge Dredd</w:t>
      </w:r>
    </w:p>
    <w:p>
      <w:r>
        <w:t>jurisdiction: EU (Malta)</w:t>
      </w:r>
    </w:p>
    <w:p>
      <w:r>
        <w:t>applicable_law: ["GDPR", "EU AI Act", "Maltese Data Protection Act"]</w:t>
      </w:r>
    </w:p>
    <w:p>
      <w:r>
        <w:t>---</w:t>
      </w:r>
    </w:p>
    <w:p/>
    <w:p>
      <w:pPr>
        <w:pStyle w:val="Heading1"/>
      </w:pPr>
      <w:r>
        <w:t>TRC Master Audit</w:t>
      </w:r>
    </w:p>
    <w:p/>
    <w:p>
      <w:r>
        <w:rPr>
          <w:i/>
          <w:color w:val="555555"/>
        </w:rPr>
        <w:t>**Source of truth.** Rewritten by Judge Dredd on every refresh. Humans only edit Open Questions. **Alfred / Polymarket is out of scope and never appears here.**</w:t>
      </w:r>
    </w:p>
    <w:p/>
    <w:p>
      <w:r>
        <w:t>See Compliance Posture for the single-page status report. See README for how this vault is structured.</w:t>
      </w:r>
    </w:p>
    <w:p/>
    <w:p>
      <w:pPr>
        <w:pStyle w:val="Heading2"/>
      </w:pPr>
      <w:r>
        <w:t>1. Governance</w:t>
      </w:r>
    </w:p>
    <w:p/>
    <w:p>
      <w:pPr>
        <w:pStyle w:val="ListBullet"/>
      </w:pPr>
      <w:r>
        <w:rPr>
          <w:b/>
        </w:rPr>
        <w:t>Governor:</w:t>
      </w:r>
      <w:r>
        <w:t xml:space="preserve"> Jonathan ([jonathan@theremarkablecollective.com](mailto:jonathan@theremarkablecollective.com)) — owns this audit programme and is the sole sign-off authority.</w:t>
      </w:r>
    </w:p>
    <w:p>
      <w:pPr>
        <w:pStyle w:val="ListBullet"/>
      </w:pPr>
      <w:r>
        <w:rPr>
          <w:b/>
        </w:rPr>
        <w:t>Data Controller:</w:t>
      </w:r>
      <w:r>
        <w:t xml:space="preserve"> TRC — Jonathan signs on behalf.</w:t>
      </w:r>
    </w:p>
    <w:p>
      <w:pPr>
        <w:pStyle w:val="ListBullet"/>
      </w:pPr>
      <w:r>
        <w:rPr>
          <w:b/>
        </w:rPr>
        <w:t>DPO:</w:t>
      </w:r>
      <w:r>
        <w:t xml:space="preserve"> Not formally appointed. Article 37 GDPR trigger needs assessment — see Open Questions.</w:t>
      </w:r>
    </w:p>
    <w:p>
      <w:pPr>
        <w:pStyle w:val="ListBullet"/>
      </w:pPr>
      <w:r>
        <w:rPr>
          <w:b/>
        </w:rPr>
        <w:t>Auditor:</w:t>
      </w:r>
      <w:r>
        <w:t xml:space="preserve"> Judge Dredd — Claude Code subagent at `.claude/agents/judge-dredd.md`.</w:t>
      </w:r>
    </w:p>
    <w:p>
      <w:pPr>
        <w:pStyle w:val="ListBullet"/>
      </w:pPr>
      <w:r>
        <w:rPr>
          <w:b/>
        </w:rPr>
        <w:t>Refresh trigger:</w:t>
      </w:r>
      <w:r>
        <w:t xml:space="preserve"> Governor invokes Judge Dredd whenever a project, agent, job, dataset, integration, or compliance artefact is </w:t>
      </w:r>
      <w:r>
        <w:rPr>
          <w:b/>
        </w:rPr>
        <w:t>added, changed, or retired</w:t>
      </w:r>
      <w:r>
        <w:t>.</w:t>
      </w:r>
    </w:p>
    <w:p/>
    <w:p>
      <w:pPr>
        <w:pStyle w:val="Heading2"/>
      </w:pPr>
      <w:r>
        <w:t>2. Asset registers</w:t>
      </w:r>
    </w:p>
    <w:p/>
    <w:p>
      <w:pPr>
        <w:pStyle w:val="ListBullet"/>
      </w:pPr>
      <w:r>
        <w:rPr>
          <w:b/>
        </w:rPr>
        <w:t>Projects</w:t>
      </w:r>
      <w:r>
        <w:t xml:space="preserve"> — see `Projects/`. One note per project.</w:t>
      </w:r>
    </w:p>
    <w:p>
      <w:pPr>
        <w:pStyle w:val="ListBullet"/>
      </w:pPr>
      <w:r>
        <w:rPr>
          <w:b/>
        </w:rPr>
        <w:t>AI Systems / Agents</w:t>
      </w:r>
      <w:r>
        <w:t xml:space="preserve"> — see `Agents/`. Each has a paired entry in `Compliance/02 AI System Register/` with its Annex III classification.</w:t>
      </w:r>
    </w:p>
    <w:p>
      <w:pPr>
        <w:pStyle w:val="ListBullet"/>
      </w:pPr>
      <w:r>
        <w:rPr>
          <w:b/>
        </w:rPr>
        <w:t>Jobs</w:t>
      </w:r>
      <w:r>
        <w:t xml:space="preserve"> — see `Jobs/`. Scheduled tasks and pipelines.</w:t>
      </w:r>
    </w:p>
    <w:p>
      <w:pPr>
        <w:pStyle w:val="ListBullet"/>
      </w:pPr>
      <w:r>
        <w:rPr>
          <w:b/>
        </w:rPr>
        <w:t>Datasets</w:t>
      </w:r>
      <w:r>
        <w:t xml:space="preserve"> — see `Datasets/`. Persistent data stores.</w:t>
      </w:r>
    </w:p>
    <w:p>
      <w:pPr>
        <w:pStyle w:val="ListBullet"/>
      </w:pPr>
      <w:r>
        <w:rPr>
          <w:b/>
        </w:rPr>
        <w:t>Integrations</w:t>
      </w:r>
      <w:r>
        <w:t xml:space="preserve"> — see `Integrations/`. Third-party tools, doubles as glossary.</w:t>
      </w:r>
    </w:p>
    <w:p/>
    <w:p>
      <w:pPr>
        <w:pStyle w:val="Heading2"/>
      </w:pPr>
      <w:r>
        <w:t>3. Compliance artefacts</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Pillar</w:t>
            </w:r>
          </w:p>
        </w:tc>
        <w:tc>
          <w:tcPr>
            <w:tcW w:type="dxa" w:w="2880"/>
          </w:tcPr>
          <w:p>
            <w:r>
              <w:rPr>
                <w:b/>
              </w:rPr>
            </w:r>
            <w:r>
              <w:rPr>
                <w:b/>
              </w:rPr>
              <w:t>Folder</w:t>
            </w:r>
          </w:p>
        </w:tc>
        <w:tc>
          <w:tcPr>
            <w:tcW w:type="dxa" w:w="2880"/>
          </w:tcPr>
          <w:p>
            <w:r>
              <w:rPr>
                <w:b/>
              </w:rPr>
            </w:r>
            <w:r>
              <w:rPr>
                <w:b/>
              </w:rPr>
              <w:t>Status</w:t>
            </w:r>
          </w:p>
        </w:tc>
      </w:tr>
      <w:tr>
        <w:tc>
          <w:tcPr>
            <w:tcW w:type="dxa" w:w="2880"/>
          </w:tcPr>
          <w:p>
            <w:r/>
            <w:r>
              <w:t>Records of Processing (ROPA)</w:t>
            </w:r>
          </w:p>
        </w:tc>
        <w:tc>
          <w:tcPr>
            <w:tcW w:type="dxa" w:w="2880"/>
          </w:tcPr>
          <w:p>
            <w:r/>
            <w:r>
              <w:t>`Compliance/01 Records of Processing/`</w:t>
            </w:r>
          </w:p>
        </w:tc>
        <w:tc>
          <w:tcPr>
            <w:tcW w:type="dxa" w:w="2880"/>
          </w:tcPr>
          <w:p>
            <w:r/>
            <w:r>
              <w:t>one ROPA per processing activity</w:t>
            </w:r>
          </w:p>
        </w:tc>
      </w:tr>
      <w:tr>
        <w:tc>
          <w:tcPr>
            <w:tcW w:type="dxa" w:w="2880"/>
          </w:tcPr>
          <w:p>
            <w:r/>
            <w:r>
              <w:t>AI System Register</w:t>
            </w:r>
          </w:p>
        </w:tc>
        <w:tc>
          <w:tcPr>
            <w:tcW w:type="dxa" w:w="2880"/>
          </w:tcPr>
          <w:p>
            <w:r/>
            <w:r>
              <w:t>`Compliance/02 AI System Register/`</w:t>
            </w:r>
          </w:p>
        </w:tc>
        <w:tc>
          <w:tcPr>
            <w:tcW w:type="dxa" w:w="2880"/>
          </w:tcPr>
          <w:p>
            <w:r/>
            <w:r>
              <w:t>one entry per AI agent</w:t>
            </w:r>
          </w:p>
        </w:tc>
      </w:tr>
      <w:tr>
        <w:tc>
          <w:tcPr>
            <w:tcW w:type="dxa" w:w="2880"/>
          </w:tcPr>
          <w:p>
            <w:r/>
            <w:r>
              <w:t>DPIAs</w:t>
            </w:r>
          </w:p>
        </w:tc>
        <w:tc>
          <w:tcPr>
            <w:tcW w:type="dxa" w:w="2880"/>
          </w:tcPr>
          <w:p>
            <w:r/>
            <w:r>
              <w:t>`Compliance/03 DPIAs/`</w:t>
            </w:r>
          </w:p>
        </w:tc>
        <w:tc>
          <w:tcPr>
            <w:tcW w:type="dxa" w:w="2880"/>
          </w:tcPr>
          <w:p>
            <w:r/>
            <w:r>
              <w:t>required where Art. 35 GDPR or Art. 26(9) AI Act triggers</w:t>
            </w:r>
          </w:p>
        </w:tc>
      </w:tr>
      <w:tr>
        <w:tc>
          <w:tcPr>
            <w:tcW w:type="dxa" w:w="2880"/>
          </w:tcPr>
          <w:p>
            <w:r/>
            <w:r>
              <w:t>International Transfers</w:t>
            </w:r>
          </w:p>
        </w:tc>
        <w:tc>
          <w:tcPr>
            <w:tcW w:type="dxa" w:w="2880"/>
          </w:tcPr>
          <w:p>
            <w:r/>
            <w:r>
              <w:t>`Compliance/04 International Transfers/`</w:t>
            </w:r>
          </w:p>
        </w:tc>
        <w:tc>
          <w:tcPr>
            <w:tcW w:type="dxa" w:w="2880"/>
          </w:tcPr>
          <w:p>
            <w:r/>
            <w:r>
              <w:t>TIA per non-EU processor</w:t>
            </w:r>
          </w:p>
        </w:tc>
      </w:tr>
      <w:tr>
        <w:tc>
          <w:tcPr>
            <w:tcW w:type="dxa" w:w="2880"/>
          </w:tcPr>
          <w:p>
            <w:r/>
            <w:r>
              <w:t>Processors and DPAs</w:t>
            </w:r>
          </w:p>
        </w:tc>
        <w:tc>
          <w:tcPr>
            <w:tcW w:type="dxa" w:w="2880"/>
          </w:tcPr>
          <w:p>
            <w:r/>
            <w:r>
              <w:t>`Compliance/05 Processors and DPAs/`</w:t>
            </w:r>
          </w:p>
        </w:tc>
        <w:tc>
          <w:tcPr>
            <w:tcW w:type="dxa" w:w="2880"/>
          </w:tcPr>
          <w:p>
            <w:r/>
            <w:r>
              <w:t>DPA signed per processor</w:t>
            </w:r>
          </w:p>
        </w:tc>
      </w:tr>
      <w:tr>
        <w:tc>
          <w:tcPr>
            <w:tcW w:type="dxa" w:w="2880"/>
          </w:tcPr>
          <w:p>
            <w:r/>
            <w:r>
              <w:t>Data Subject Rights</w:t>
            </w:r>
          </w:p>
        </w:tc>
        <w:tc>
          <w:tcPr>
            <w:tcW w:type="dxa" w:w="2880"/>
          </w:tcPr>
          <w:p>
            <w:r/>
            <w:r>
              <w:t>`Compliance/06 Data Subject Rights/`</w:t>
            </w:r>
          </w:p>
        </w:tc>
        <w:tc>
          <w:tcPr>
            <w:tcW w:type="dxa" w:w="2880"/>
          </w:tcPr>
          <w:p>
            <w:r/>
            <w:r>
              <w:t>procedure + register</w:t>
            </w:r>
          </w:p>
        </w:tc>
      </w:tr>
      <w:tr>
        <w:tc>
          <w:tcPr>
            <w:tcW w:type="dxa" w:w="2880"/>
          </w:tcPr>
          <w:p>
            <w:r/>
            <w:r>
              <w:t>Incidents</w:t>
            </w:r>
          </w:p>
        </w:tc>
        <w:tc>
          <w:tcPr>
            <w:tcW w:type="dxa" w:w="2880"/>
          </w:tcPr>
          <w:p>
            <w:r/>
            <w:r>
              <w:t>`Compliance/07 Incidents/`</w:t>
            </w:r>
          </w:p>
        </w:tc>
        <w:tc>
          <w:tcPr>
            <w:tcW w:type="dxa" w:w="2880"/>
          </w:tcPr>
          <w:p>
            <w:r/>
            <w:r>
              <w:t>procedure + register, 72-hour notification</w:t>
            </w:r>
          </w:p>
        </w:tc>
      </w:tr>
      <w:tr>
        <w:tc>
          <w:tcPr>
            <w:tcW w:type="dxa" w:w="2880"/>
          </w:tcPr>
          <w:p>
            <w:r/>
            <w:r>
              <w:t>Policies</w:t>
            </w:r>
          </w:p>
        </w:tc>
        <w:tc>
          <w:tcPr>
            <w:tcW w:type="dxa" w:w="2880"/>
          </w:tcPr>
          <w:p>
            <w:r/>
            <w:r>
              <w:t>`Compliance/08 Policies/`</w:t>
            </w:r>
          </w:p>
        </w:tc>
        <w:tc>
          <w:tcPr>
            <w:tcW w:type="dxa" w:w="2880"/>
          </w:tcPr>
          <w:p>
            <w:r/>
            <w:r>
              <w:t>data protection, acceptable AI use, AI literacy, vendor management, retention</w:t>
            </w:r>
          </w:p>
        </w:tc>
      </w:tr>
      <w:tr>
        <w:tc>
          <w:tcPr>
            <w:tcW w:type="dxa" w:w="2880"/>
          </w:tcPr>
          <w:p>
            <w:r/>
            <w:r>
              <w:t>Notices</w:t>
            </w:r>
          </w:p>
        </w:tc>
        <w:tc>
          <w:tcPr>
            <w:tcW w:type="dxa" w:w="2880"/>
          </w:tcPr>
          <w:p>
            <w:r/>
            <w:r>
              <w:t>`Compliance/09 Notices/`</w:t>
            </w:r>
          </w:p>
        </w:tc>
        <w:tc>
          <w:tcPr>
            <w:tcW w:type="dxa" w:w="2880"/>
          </w:tcPr>
          <w:p>
            <w:r/>
            <w:r>
              <w:t>AI transparency, worker notice, privacy notice</w:t>
            </w:r>
          </w:p>
        </w:tc>
      </w:tr>
    </w:tbl>
    <w:p/>
    <w:p>
      <w:pPr>
        <w:pStyle w:val="Heading2"/>
      </w:pPr>
      <w:r>
        <w:t>4. Key applicable obligations (jurisdiction: EU / Malta)</w:t>
      </w:r>
    </w:p>
    <w:p/>
    <w:p>
      <w:pPr>
        <w:pStyle w:val="ListBullet"/>
      </w:pPr>
      <w:r>
        <w:rPr>
          <w:b/>
        </w:rPr>
        <w:t>AI Act Article 4</w:t>
      </w:r>
      <w:r>
        <w:t xml:space="preserve"> — AI literacy programme for staff. </w:t>
      </w:r>
      <w:r>
        <w:rPr>
          <w:b/>
        </w:rPr>
        <w:t>In force.</w:t>
      </w:r>
    </w:p>
    <w:p>
      <w:pPr>
        <w:pStyle w:val="ListBullet"/>
      </w:pPr>
      <w:r>
        <w:rPr>
          <w:b/>
        </w:rPr>
        <w:t>AI Act Article 26</w:t>
      </w:r>
      <w:r>
        <w:t xml:space="preserve"> — deployer duties for high-risk AI. </w:t>
      </w:r>
      <w:r>
        <w:rPr>
          <w:b/>
        </w:rPr>
        <w:t>Applies 2 August 2026.</w:t>
      </w:r>
    </w:p>
    <w:p>
      <w:pPr>
        <w:pStyle w:val="ListBullet"/>
      </w:pPr>
      <w:r>
        <w:rPr>
          <w:b/>
        </w:rPr>
        <w:t>AI Act Article 50</w:t>
      </w:r>
      <w:r>
        <w:t xml:space="preserve"> — inform users they are interacting with AI. </w:t>
      </w:r>
      <w:r>
        <w:rPr>
          <w:b/>
        </w:rPr>
        <w:t>Applies 2 August 2026.</w:t>
      </w:r>
    </w:p>
    <w:p>
      <w:pPr>
        <w:pStyle w:val="ListBullet"/>
      </w:pPr>
      <w:r>
        <w:rPr>
          <w:b/>
        </w:rPr>
        <w:t>GDPR Art. 30</w:t>
      </w:r>
      <w:r>
        <w:t xml:space="preserve"> — record of processing activities. </w:t>
      </w:r>
      <w:r>
        <w:rPr>
          <w:b/>
        </w:rPr>
        <w:t>In force.</w:t>
      </w:r>
    </w:p>
    <w:p>
      <w:pPr>
        <w:pStyle w:val="ListBullet"/>
      </w:pPr>
      <w:r>
        <w:rPr>
          <w:b/>
        </w:rPr>
        <w:t>GDPR Art. 35</w:t>
      </w:r>
      <w:r>
        <w:t xml:space="preserve"> — DPIA where high-risk to data subjects. </w:t>
      </w:r>
      <w:r>
        <w:rPr>
          <w:b/>
        </w:rPr>
        <w:t>In force.</w:t>
      </w:r>
    </w:p>
    <w:p>
      <w:pPr>
        <w:pStyle w:val="ListBullet"/>
      </w:pPr>
      <w:r>
        <w:rPr>
          <w:b/>
        </w:rPr>
        <w:t>GDPR Art. 28</w:t>
      </w:r>
      <w:r>
        <w:t xml:space="preserve"> — written contract with each processor. </w:t>
      </w:r>
      <w:r>
        <w:rPr>
          <w:b/>
        </w:rPr>
        <w:t>In force.</w:t>
      </w:r>
    </w:p>
    <w:p>
      <w:pPr>
        <w:pStyle w:val="ListBullet"/>
      </w:pPr>
      <w:r>
        <w:rPr>
          <w:b/>
        </w:rPr>
        <w:t>GDPR Chapter V</w:t>
      </w:r>
      <w:r>
        <w:t xml:space="preserve"> — safeguards for transfers outside the EU/EEA. </w:t>
      </w:r>
      <w:r>
        <w:rPr>
          <w:b/>
        </w:rPr>
        <w:t>In force.</w:t>
      </w:r>
    </w:p>
    <w:p>
      <w:pPr>
        <w:pStyle w:val="ListBullet"/>
      </w:pPr>
      <w:r>
        <w:rPr>
          <w:b/>
        </w:rPr>
        <w:t>GDPR Article 33</w:t>
      </w:r>
      <w:r>
        <w:t xml:space="preserve"> — 72-hour personal-data-breach notification. </w:t>
      </w:r>
      <w:r>
        <w:rPr>
          <w:b/>
        </w:rPr>
        <w:t>In force.</w:t>
      </w:r>
    </w:p>
    <w:p/>
    <w:p>
      <w:pPr>
        <w:pStyle w:val="Heading2"/>
      </w:pPr>
      <w:r>
        <w:t>5. Out of scope</w:t>
      </w:r>
    </w:p>
    <w:p/>
    <w:p>
      <w:pPr>
        <w:pStyle w:val="ListBullet"/>
      </w:pPr>
      <w:r>
        <w:rPr>
          <w:b/>
        </w:rPr>
        <w:t>Alfred / Polymarket</w:t>
      </w:r>
      <w:r>
        <w:t xml:space="preserve"> — Judge Dredd skips every file, env var, comment, and reference. Confirmed by the Governor.</w:t>
      </w:r>
    </w:p>
    <w:p/>
    <w:p>
      <w:pPr>
        <w:pStyle w:val="Heading2"/>
      </w:pPr>
      <w:r>
        <w:t>6. Open questions and change log</w:t>
      </w:r>
    </w:p>
    <w:p/>
    <w:p>
      <w:pPr>
        <w:pStyle w:val="ListBullet"/>
      </w:pPr>
      <w:r>
        <w:t>Open Questions — the only note humans edit.</w:t>
      </w:r>
    </w:p>
    <w:p>
      <w:pPr>
        <w:pStyle w:val="ListBullet"/>
      </w:pPr>
      <w:r>
        <w:t>Change Log — Judge Dredd appends one line per refresh, most recent on top.</w:t>
      </w:r>
    </w:p>
    <w:p>
      <w:r>
        <w:br w:type="page"/>
      </w:r>
    </w:p>
    <w:p>
      <w:pPr>
        <w:pStyle w:val="Heading1"/>
        <w:jc w:val="left"/>
      </w:pPr>
      <w:r>
        <w:t>01 Records of Processing</w:t>
      </w:r>
    </w:p>
    <w:p>
      <w:pPr>
        <w:pStyle w:val="Heading2"/>
      </w:pPr>
      <w:r>
        <w:t>Sam — AI Chief of Staff</w:t>
      </w:r>
    </w:p>
    <w:p>
      <w:pPr>
        <w:pStyle w:val="Heading1"/>
      </w:pPr>
      <w:r>
        <w:t>Record of Processing Activity — Sam, AI Chief of Staff</w:t>
      </w:r>
    </w:p>
    <w:p/>
    <w:p>
      <w:r>
        <w:t>This record meets the Article 30 GDPR requirement for a controller's record of processing activities.</w:t>
      </w:r>
    </w:p>
    <w:p/>
    <w:p>
      <w:pPr>
        <w:pStyle w:val="Heading2"/>
      </w:pPr>
      <w:r>
        <w:t>1. Controller details</w:t>
      </w:r>
    </w:p>
    <w:p/>
    <w:p>
      <w:pPr>
        <w:pStyle w:val="ListBullet"/>
      </w:pPr>
      <w:r>
        <w:rPr>
          <w:b/>
        </w:rPr>
        <w:t>Name:</w:t>
      </w:r>
      <w:r>
        <w:t xml:space="preserve"> The Remarkable Collective (TRC).</w:t>
      </w:r>
    </w:p>
    <w:p>
      <w:pPr>
        <w:pStyle w:val="ListBullet"/>
      </w:pPr>
      <w:r>
        <w:rPr>
          <w:b/>
        </w:rPr>
        <w:t>Establishment:</w:t>
      </w:r>
      <w:r>
        <w:t xml:space="preserve"> Malta.</w:t>
      </w:r>
    </w:p>
    <w:p>
      <w:pPr>
        <w:pStyle w:val="ListBullet"/>
      </w:pPr>
      <w:r>
        <w:rPr>
          <w:b/>
        </w:rPr>
        <w:t>Contact:</w:t>
      </w:r>
      <w:r>
        <w:t xml:space="preserve"> Jonathan, jonathan@theremarkablecollective.com (Governor).</w:t>
      </w:r>
    </w:p>
    <w:p>
      <w:pPr>
        <w:pStyle w:val="ListBullet"/>
      </w:pPr>
      <w:r>
        <w:rPr>
          <w:b/>
        </w:rPr>
        <w:t>DPO:</w:t>
      </w:r>
      <w:r>
        <w:t xml:space="preserve"> Not formally appointed — see Open Questions.</w:t>
      </w:r>
    </w:p>
    <w:p>
      <w:pPr>
        <w:pStyle w:val="ListBullet"/>
      </w:pPr>
      <w:r>
        <w:rPr>
          <w:b/>
        </w:rPr>
        <w:t>Joint controllers:</w:t>
      </w:r>
      <w:r>
        <w:t xml:space="preserve"> None.</w:t>
      </w:r>
    </w:p>
    <w:p/>
    <w:p>
      <w:pPr>
        <w:pStyle w:val="Heading2"/>
      </w:pPr>
      <w:r>
        <w:t>2. Purposes of the processing</w:t>
      </w:r>
    </w:p>
    <w:p/>
    <w:p>
      <w:pPr>
        <w:pStyle w:val="ListBullet"/>
      </w:pPr>
      <w:r>
        <w:t>Provide Beverly Cutajar (COO) with an AI assistant that can answer questions and draft replies using her own operational data.</w:t>
      </w:r>
    </w:p>
    <w:p>
      <w:pPr>
        <w:pStyle w:val="ListBullet"/>
      </w:pPr>
      <w:r>
        <w:t>Maintain an internal audit and incident trail.</w:t>
      </w:r>
    </w:p>
    <w:p/>
    <w:p>
      <w:pPr>
        <w:pStyle w:val="Heading2"/>
      </w:pPr>
      <w:r>
        <w:t>3. Categories of data subjects</w:t>
      </w:r>
    </w:p>
    <w:p/>
    <w:p>
      <w:pPr>
        <w:pStyle w:val="ListBullet"/>
      </w:pPr>
      <w:r>
        <w:t>Beverly Cutajar (primary user).</w:t>
      </w:r>
    </w:p>
    <w:p>
      <w:pPr>
        <w:pStyle w:val="ListBullet"/>
      </w:pPr>
      <w:r>
        <w:t>TRC staff whose data appears in Beverly's mailbox, calendar, Teams chats, Odoo HR / CRM, or Firefish candidate pipelines.</w:t>
      </w:r>
    </w:p>
    <w:p>
      <w:pPr>
        <w:pStyle w:val="ListBullet"/>
      </w:pPr>
      <w:r>
        <w:t>Job candidates referenced in Firefish.</w:t>
      </w:r>
    </w:p>
    <w:p>
      <w:pPr>
        <w:pStyle w:val="ListBullet"/>
      </w:pPr>
      <w:r>
        <w:t>External correspondents who email or message Beverly.</w:t>
      </w:r>
    </w:p>
    <w:p/>
    <w:p>
      <w:pPr>
        <w:pStyle w:val="Heading2"/>
      </w:pPr>
      <w:r>
        <w:t>4. Categories of personal data</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Category</w:t>
            </w:r>
          </w:p>
        </w:tc>
        <w:tc>
          <w:tcPr>
            <w:tcW w:type="dxa" w:w="2880"/>
          </w:tcPr>
          <w:p>
            <w:r>
              <w:rPr>
                <w:b/>
              </w:rPr>
            </w:r>
            <w:r>
              <w:rPr>
                <w:b/>
              </w:rPr>
              <w:t>Source</w:t>
            </w:r>
          </w:p>
        </w:tc>
        <w:tc>
          <w:tcPr>
            <w:tcW w:type="dxa" w:w="2880"/>
          </w:tcPr>
          <w:p>
            <w:r>
              <w:rPr>
                <w:b/>
              </w:rPr>
            </w:r>
            <w:r>
              <w:rPr>
                <w:b/>
              </w:rPr>
              <w:t>Example</w:t>
            </w:r>
          </w:p>
        </w:tc>
      </w:tr>
      <w:tr>
        <w:tc>
          <w:tcPr>
            <w:tcW w:type="dxa" w:w="2880"/>
          </w:tcPr>
          <w:p>
            <w:r/>
            <w:r>
              <w:t>Identification data</w:t>
            </w:r>
          </w:p>
        </w:tc>
        <w:tc>
          <w:tcPr>
            <w:tcW w:type="dxa" w:w="2880"/>
          </w:tcPr>
          <w:p>
            <w:r/>
            <w:r>
              <w:t>Microsoft Graph / Odoo / Firefish</w:t>
            </w:r>
          </w:p>
        </w:tc>
        <w:tc>
          <w:tcPr>
            <w:tcW w:type="dxa" w:w="2880"/>
          </w:tcPr>
          <w:p>
            <w:r/>
            <w:r>
              <w:t>name, email, phone</w:t>
            </w:r>
          </w:p>
        </w:tc>
      </w:tr>
      <w:tr>
        <w:tc>
          <w:tcPr>
            <w:tcW w:type="dxa" w:w="2880"/>
          </w:tcPr>
          <w:p>
            <w:r/>
            <w:r>
              <w:t>Employment / recruitment data</w:t>
            </w:r>
          </w:p>
        </w:tc>
        <w:tc>
          <w:tcPr>
            <w:tcW w:type="dxa" w:w="2880"/>
          </w:tcPr>
          <w:p>
            <w:r/>
            <w:r>
              <w:t>Firefish / Odoo</w:t>
            </w:r>
          </w:p>
        </w:tc>
        <w:tc>
          <w:tcPr>
            <w:tcW w:type="dxa" w:w="2880"/>
          </w:tcPr>
          <w:p>
            <w:r/>
            <w:r>
              <w:t>CVs, role, salary band, performance notes</w:t>
            </w:r>
          </w:p>
        </w:tc>
      </w:tr>
      <w:tr>
        <w:tc>
          <w:tcPr>
            <w:tcW w:type="dxa" w:w="2880"/>
          </w:tcPr>
          <w:p>
            <w:r/>
            <w:r>
              <w:t>Communications</w:t>
            </w:r>
          </w:p>
        </w:tc>
        <w:tc>
          <w:tcPr>
            <w:tcW w:type="dxa" w:w="2880"/>
          </w:tcPr>
          <w:p>
            <w:r/>
            <w:r>
              <w:t>Microsoft Graph</w:t>
            </w:r>
          </w:p>
        </w:tc>
        <w:tc>
          <w:tcPr>
            <w:tcW w:type="dxa" w:w="2880"/>
          </w:tcPr>
          <w:p>
            <w:r/>
            <w:r>
              <w:t>mail bodies, calendar entries, Teams messages</w:t>
            </w:r>
          </w:p>
        </w:tc>
      </w:tr>
      <w:tr>
        <w:tc>
          <w:tcPr>
            <w:tcW w:type="dxa" w:w="2880"/>
          </w:tcPr>
          <w:p>
            <w:r/>
            <w:r>
              <w:t>Identifiers</w:t>
            </w:r>
          </w:p>
        </w:tc>
        <w:tc>
          <w:tcPr>
            <w:tcW w:type="dxa" w:w="2880"/>
          </w:tcPr>
          <w:p>
            <w:r/>
            <w:r>
              <w:t>Telegram Bot API / WhatsApp Cloud API</w:t>
            </w:r>
          </w:p>
        </w:tc>
        <w:tc>
          <w:tcPr>
            <w:tcW w:type="dxa" w:w="2880"/>
          </w:tcPr>
          <w:p>
            <w:r/>
            <w:r>
              <w:t>Telegram user ID, WhatsApp number</w:t>
            </w:r>
          </w:p>
        </w:tc>
      </w:tr>
    </w:tbl>
    <w:p/>
    <w:p>
      <w:r>
        <w:rPr>
          <w:b/>
        </w:rPr>
        <w:t>Special Category Data:</w:t>
      </w:r>
      <w:r>
        <w:t xml:space="preserve"> to be assessed. CVs and HR records may include health, trade-union membership, or other special categories. Flag in Open Questions.</w:t>
      </w:r>
    </w:p>
    <w:p/>
    <w:p>
      <w:pPr>
        <w:pStyle w:val="Heading2"/>
      </w:pPr>
      <w:r>
        <w:t>5. Categories of recipients</w:t>
      </w:r>
    </w:p>
    <w:p/>
    <w:p>
      <w:pPr>
        <w:pStyle w:val="ListBullet"/>
      </w:pPr>
      <w:r>
        <w:t>Anthropic (US) — processor — receives the conversation text for inference.</w:t>
      </w:r>
    </w:p>
    <w:p>
      <w:pPr>
        <w:pStyle w:val="ListBullet"/>
      </w:pPr>
      <w:r>
        <w:t>Microsoft (US/IE) — processor for Graph API.</w:t>
      </w:r>
    </w:p>
    <w:p>
      <w:pPr>
        <w:pStyle w:val="ListBullet"/>
      </w:pPr>
      <w:r>
        <w:t>Railway (US) — processor providing hosting and logging.</w:t>
      </w:r>
    </w:p>
    <w:p>
      <w:pPr>
        <w:pStyle w:val="ListBullet"/>
      </w:pPr>
      <w:r>
        <w:t>Odoo (self-hosted at thinktalent.com.mt) — controller of source records; TRC reads via API.</w:t>
      </w:r>
    </w:p>
    <w:p>
      <w:pPr>
        <w:pStyle w:val="ListBullet"/>
      </w:pPr>
      <w:r>
        <w:t>Firefish (UK) — controller of source records; TRC reads via API.</w:t>
      </w:r>
    </w:p>
    <w:p>
      <w:pPr>
        <w:pStyle w:val="ListBullet"/>
      </w:pPr>
      <w:r>
        <w:t>Telegram (Meta-adjacent) — communications channel.</w:t>
      </w:r>
    </w:p>
    <w:p>
      <w:pPr>
        <w:pStyle w:val="ListBullet"/>
      </w:pPr>
      <w:r>
        <w:t>Meta (Ireland for EU traffic, US for backend) — communications channel.</w:t>
      </w:r>
    </w:p>
    <w:p/>
    <w:p>
      <w:pPr>
        <w:pStyle w:val="Heading2"/>
      </w:pPr>
      <w:r>
        <w:t>6. International transfers</w:t>
      </w:r>
    </w:p>
    <w:p/>
    <w:p>
      <w:r>
        <w:t xml:space="preserve">Transfers to the </w:t>
      </w:r>
      <w:r>
        <w:rPr>
          <w:b/>
        </w:rPr>
        <w:t>United States</w:t>
      </w:r>
      <w:r>
        <w:t xml:space="preserve"> occur each time a message is processed:</w:t>
      </w:r>
    </w:p>
    <w:p/>
    <w:p>
      <w:pPr>
        <w:pStyle w:val="ListBullet"/>
      </w:pPr>
      <w:r>
        <w:rPr>
          <w:b/>
        </w:rPr>
        <w:t>Anthropic</w:t>
      </w:r>
      <w:r>
        <w:t xml:space="preserve"> — US-based. Safeguard: Standard Contractual Clauses in Anthropic's DPA. </w:t>
      </w:r>
      <w:r>
        <w:rPr>
          <w:b/>
        </w:rPr>
        <w:t>Transfer Impact Assessment:</w:t>
      </w:r>
      <w:r>
        <w:t xml:space="preserve"> see `../04 International Transfers/TIA - Anthropic.md`.</w:t>
      </w:r>
    </w:p>
    <w:p>
      <w:pPr>
        <w:pStyle w:val="ListBullet"/>
      </w:pPr>
      <w:r>
        <w:rPr>
          <w:b/>
        </w:rPr>
        <w:t>Microsoft</w:t>
      </w:r>
      <w:r>
        <w:t xml:space="preserve"> — primary EU data residency for many Graph endpoints, with sub-processing in the US. Safeguard: Microsoft's EU Data Boundary + SCCs. </w:t>
      </w:r>
      <w:r>
        <w:rPr>
          <w:b/>
        </w:rPr>
        <w:t>TIA:</w:t>
      </w:r>
      <w:r>
        <w:t xml:space="preserve"> `../04 International Transfers/TIA - Microsoft.md`.</w:t>
      </w:r>
    </w:p>
    <w:p/>
    <w:p>
      <w:pPr>
        <w:pStyle w:val="Heading2"/>
      </w:pPr>
      <w:r>
        <w:t>7. Retention</w:t>
      </w:r>
    </w:p>
    <w:p/>
    <w:p>
      <w:pPr>
        <w:pStyle w:val="ListBullet"/>
      </w:pPr>
      <w:r>
        <w:rPr>
          <w:b/>
        </w:rPr>
        <w:t>Telegram / WhatsApp conversation cache:</w:t>
      </w:r>
      <w:r>
        <w:t xml:space="preserve"> in-process only — not persisted by TRC.</w:t>
      </w:r>
    </w:p>
    <w:p>
      <w:pPr>
        <w:pStyle w:val="ListBullet"/>
      </w:pPr>
      <w:r>
        <w:rPr>
          <w:b/>
        </w:rPr>
        <w:t>Railway logs:</w:t>
      </w:r>
      <w:r>
        <w:t xml:space="preserve"> target ≥ 6 months (AI Act Art. 26(6)). Confirm setting.</w:t>
      </w:r>
    </w:p>
    <w:p>
      <w:pPr>
        <w:pStyle w:val="ListBullet"/>
      </w:pPr>
      <w:r>
        <w:rPr>
          <w:b/>
        </w:rPr>
        <w:t>Anthropic prompt/response retention:</w:t>
      </w:r>
      <w:r>
        <w:t xml:space="preserve"> per Anthropic's commercial terms — default 30 days, "zero data retention" available. </w:t>
      </w:r>
      <w:r>
        <w:rPr>
          <w:b/>
        </w:rPr>
        <w:t>Action:</w:t>
      </w:r>
      <w:r>
        <w:t xml:space="preserve"> confirm contractual setting in `../05 Processors and DPAs/Anthropic.md`.</w:t>
      </w:r>
    </w:p>
    <w:p>
      <w:pPr>
        <w:pStyle w:val="ListBullet"/>
      </w:pPr>
      <w:r>
        <w:rPr>
          <w:b/>
        </w:rPr>
        <w:t>Underlying source systems</w:t>
      </w:r>
      <w:r>
        <w:t xml:space="preserve"> (Odoo, Firefish, Microsoft Graph) retain per their own controllers' schedules — TRC does not duplicate.</w:t>
      </w:r>
    </w:p>
    <w:p/>
    <w:p>
      <w:pPr>
        <w:pStyle w:val="Heading2"/>
      </w:pPr>
      <w:r>
        <w:t>8. Technical and organisational measures</w:t>
      </w:r>
    </w:p>
    <w:p/>
    <w:p>
      <w:pPr>
        <w:pStyle w:val="ListBullet"/>
      </w:pPr>
      <w:r>
        <w:t>All credentials stored as Railway Environment variables. Never committed.</w:t>
      </w:r>
    </w:p>
    <w:p>
      <w:pPr>
        <w:pStyle w:val="ListBullet"/>
      </w:pPr>
      <w:r>
        <w:t>Telegram / WhatsApp messages only accepted from an explicit allow-list of user IDs / numbers.</w:t>
      </w:r>
    </w:p>
    <w:p>
      <w:pPr>
        <w:pStyle w:val="ListBullet"/>
      </w:pPr>
      <w:r>
        <w:t>Webhook signature verification on inbound calls.</w:t>
      </w:r>
    </w:p>
    <w:p>
      <w:pPr>
        <w:pStyle w:val="ListBullet"/>
      </w:pPr>
      <w:r>
        <w:t>Code reviewed; changes pushed only through GitHub.</w:t>
      </w:r>
    </w:p>
    <w:p>
      <w:pPr>
        <w:pStyle w:val="ListBullet"/>
      </w:pPr>
      <w:r>
        <w:t>Audit log retained per Art. 26(6).</w:t>
      </w:r>
    </w:p>
    <w:p/>
    <w:p>
      <w:pPr>
        <w:pStyle w:val="Heading2"/>
      </w:pPr>
      <w:r>
        <w:t>9. Lawful basis</w:t>
      </w:r>
    </w:p>
    <w:p/>
    <w:p>
      <w:pPr>
        <w:pStyle w:val="ListBullet"/>
      </w:pPr>
      <w:r>
        <w:t xml:space="preserve">For Beverly's own data: </w:t>
      </w:r>
      <w:r>
        <w:rPr>
          <w:b/>
        </w:rPr>
        <w:t>Article 6(1)(b) GDPR — necessary for performance of contract</w:t>
      </w:r>
      <w:r>
        <w:t xml:space="preserve"> (her employment).</w:t>
      </w:r>
    </w:p>
    <w:p>
      <w:pPr>
        <w:pStyle w:val="ListBullet"/>
      </w:pPr>
      <w:r>
        <w:t xml:space="preserve">For data of other TRC workers visible in Beverly's mailbox: </w:t>
      </w:r>
      <w:r>
        <w:rPr>
          <w:b/>
        </w:rPr>
        <w:t>Article 6(1)(f) — legitimate interests</w:t>
      </w:r>
      <w:r>
        <w:t xml:space="preserve"> (operating the company efficiently), balanced by the worker notification under AI Act Art. 26(7).</w:t>
      </w:r>
    </w:p>
    <w:p>
      <w:pPr>
        <w:pStyle w:val="ListBullet"/>
      </w:pPr>
      <w:r>
        <w:t xml:space="preserve">For job-candidate data in Firefish read by Sam: </w:t>
      </w:r>
      <w:r>
        <w:rPr>
          <w:b/>
        </w:rPr>
        <w:t>Article 6(1)(f) legitimate interests</w:t>
      </w:r>
      <w:r>
        <w:t xml:space="preserve">, subject to the original lawful basis on which candidate data was collected. </w:t>
      </w:r>
      <w:r>
        <w:rPr>
          <w:b/>
        </w:rPr>
        <w:t>To re-confirm with Firefish controller.</w:t>
      </w:r>
    </w:p>
    <w:p/>
    <w:p>
      <w:pPr>
        <w:pStyle w:val="Heading2"/>
      </w:pPr>
      <w:r>
        <w:t>10. DPIA link</w:t>
      </w:r>
    </w:p>
    <w:p/>
    <w:p>
      <w:r>
        <w:t>A DPIA is required under GDPR Art. 35 and (if Sam is classified high-risk) under AI Act Art. 26(9). See `../03 DPIAs/Sam.md`.</w:t>
      </w:r>
    </w:p>
    <w:p/>
    <w:p>
      <w:pPr>
        <w:pStyle w:val="Heading2"/>
      </w:pPr>
      <w:r>
        <w:t>11. Change history</w:t>
      </w:r>
    </w:p>
    <w:p/>
    <w:p>
      <w:pPr>
        <w:pStyle w:val="ListBullet"/>
      </w:pPr>
      <w:r>
        <w:rPr>
          <w:b/>
        </w:rPr>
        <w:t>2026-05-22</w:t>
      </w:r>
      <w:r>
        <w:t xml:space="preserve"> — initial record created.</w:t>
      </w:r>
    </w:p>
    <w:p>
      <w:pPr>
        <w:pStyle w:val="Heading2"/>
      </w:pPr>
      <w:r>
        <w:t>&lt;name&gt;</w:t>
      </w:r>
    </w:p>
    <w:p>
      <w:pPr>
        <w:pStyle w:val="Heading1"/>
      </w:pPr>
      <w:r>
        <w:t>Record of Processing Activity — &lt;activity&gt;</w:t>
      </w:r>
    </w:p>
    <w:p/>
    <w:p>
      <w:r>
        <w:t>Article 30 GDPR controller's record.</w:t>
      </w:r>
    </w:p>
    <w:p/>
    <w:p>
      <w:pPr>
        <w:pStyle w:val="Heading2"/>
      </w:pPr>
      <w:r>
        <w:t>1. Controller details</w:t>
      </w:r>
    </w:p>
    <w:p>
      <w:pPr>
        <w:pStyle w:val="ListBullet"/>
      </w:pPr>
      <w:r>
        <w:t>Name, establishment, contact, DPO (if any), joint controllers (if any).</w:t>
      </w:r>
    </w:p>
    <w:p/>
    <w:p>
      <w:pPr>
        <w:pStyle w:val="Heading2"/>
      </w:pPr>
      <w:r>
        <w:t>2. Purposes of the processing</w:t>
      </w:r>
    </w:p>
    <w:p/>
    <w:p>
      <w:pPr>
        <w:pStyle w:val="Heading2"/>
      </w:pPr>
      <w:r>
        <w:t>3. Categories of data subjects</w:t>
      </w:r>
    </w:p>
    <w:p/>
    <w:p>
      <w:pPr>
        <w:pStyle w:val="Heading2"/>
      </w:pPr>
      <w:r>
        <w:t>4. Categories of personal data</w:t>
      </w:r>
    </w:p>
    <w:p>
      <w:r>
        <w:t>Include a row for Special Category Data (Art. 9 GDPR) if present.</w:t>
      </w:r>
    </w:p>
    <w:p/>
    <w:p>
      <w:pPr>
        <w:pStyle w:val="Heading2"/>
      </w:pPr>
      <w:r>
        <w:t>5. Categories of recipients</w:t>
      </w:r>
    </w:p>
    <w:p>
      <w:r>
        <w:t>Each recipient should be linked to its `Integrations/` note and its `../05 Processors and DPAs/` entry.</w:t>
      </w:r>
    </w:p>
    <w:p/>
    <w:p>
      <w:pPr>
        <w:pStyle w:val="Heading2"/>
      </w:pPr>
      <w:r>
        <w:t>6. International transfers</w:t>
      </w:r>
    </w:p>
    <w:p>
      <w:r>
        <w:t>List every transfer outside EU/EEA with safeguard (SCCs / adequacy / derogation) and a link to its Transfer Impact Assessment.</w:t>
      </w:r>
    </w:p>
    <w:p/>
    <w:p>
      <w:pPr>
        <w:pStyle w:val="Heading2"/>
      </w:pPr>
      <w:r>
        <w:t>7. Retention</w:t>
      </w:r>
    </w:p>
    <w:p>
      <w:r>
        <w:t>Per category of data. Tie to the AI Act Art. 26(6) ≥ 6-month log-retention obligation where applicable.</w:t>
      </w:r>
    </w:p>
    <w:p/>
    <w:p>
      <w:pPr>
        <w:pStyle w:val="Heading2"/>
      </w:pPr>
      <w:r>
        <w:t>8. Technical and organisational measures</w:t>
      </w:r>
    </w:p>
    <w:p/>
    <w:p>
      <w:pPr>
        <w:pStyle w:val="Heading2"/>
      </w:pPr>
      <w:r>
        <w:t>9. Lawful basis</w:t>
      </w:r>
    </w:p>
    <w:p>
      <w:r>
        <w:t>One per category of data subject / data category. Cite Article 6 (and Article 9 if special category).</w:t>
      </w:r>
    </w:p>
    <w:p/>
    <w:p>
      <w:pPr>
        <w:pStyle w:val="Heading2"/>
      </w:pPr>
      <w:r>
        <w:t>10. DPIA link</w:t>
      </w:r>
    </w:p>
    <w:p>
      <w:r>
        <w:t>Required where Article 35 GDPR or AI Act Art. 26(9) triggers.</w:t>
      </w:r>
    </w:p>
    <w:p/>
    <w:p>
      <w:pPr>
        <w:pStyle w:val="Heading2"/>
      </w:pPr>
      <w:r>
        <w:t>11. Change history</w:t>
      </w:r>
    </w:p>
    <w:p>
      <w:r>
        <w:br w:type="page"/>
      </w:r>
    </w:p>
    <w:p>
      <w:pPr>
        <w:pStyle w:val="Heading1"/>
        <w:jc w:val="left"/>
      </w:pPr>
      <w:r>
        <w:t>02 AI System Register</w:t>
      </w:r>
    </w:p>
    <w:p>
      <w:pPr>
        <w:pStyle w:val="Heading2"/>
      </w:pPr>
      <w:r>
        <w:t>Sam</w:t>
      </w:r>
    </w:p>
    <w:p>
      <w:pPr>
        <w:pStyle w:val="Heading1"/>
      </w:pPr>
      <w:r>
        <w:t>AI System Register Entry — Sam</w:t>
      </w:r>
    </w:p>
    <w:p/>
    <w:p>
      <w:r>
        <w:t>This entry meets the AI System Register requirement that TRC will be expected to produce when AI Act Article 26 starts to apply (</w:t>
      </w:r>
      <w:r>
        <w:rPr>
          <w:b/>
        </w:rPr>
        <w:t>2 August 2026</w:t>
      </w:r>
      <w:r>
        <w:t>). It is the primary evidence file for Sam.</w:t>
      </w:r>
    </w:p>
    <w:p/>
    <w:p>
      <w:pPr>
        <w:pStyle w:val="Heading2"/>
      </w:pPr>
      <w:r>
        <w:t>1. System description (plain English)</w:t>
      </w:r>
    </w:p>
    <w:p/>
    <w:p>
      <w:r>
        <w:t>Sam is an AI chief-of-staff agent. It receives messages on Telegram and WhatsApp from Beverly Cutajar (COO) and a small allow-list, forwards the conversation to Claude with a system prompt that defines its role, and returns the reply. Sam reads operational data from Odoo (HR / CRM / accounting), Firefish (recruitment CRM), and Microsoft Graph (Outlook mail, Teams chats, OneDrive, calendar) to answer Beverly's questions.</w:t>
      </w:r>
    </w:p>
    <w:p/>
    <w:p>
      <w:pPr>
        <w:pStyle w:val="Heading2"/>
      </w:pPr>
      <w:r>
        <w:t>2. Risk classification under the EU AI Act</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Tier</w:t>
            </w:r>
          </w:p>
        </w:tc>
        <w:tc>
          <w:tcPr>
            <w:tcW w:type="dxa" w:w="2880"/>
          </w:tcPr>
          <w:p>
            <w:r>
              <w:rPr>
                <w:b/>
              </w:rPr>
            </w:r>
            <w:r>
              <w:rPr>
                <w:b/>
              </w:rPr>
              <w:t>Applies?</w:t>
            </w:r>
          </w:p>
        </w:tc>
        <w:tc>
          <w:tcPr>
            <w:tcW w:type="dxa" w:w="2880"/>
          </w:tcPr>
          <w:p>
            <w:r>
              <w:rPr>
                <w:b/>
              </w:rPr>
            </w:r>
            <w:r>
              <w:rPr>
                <w:b/>
              </w:rPr>
              <w:t>Why</w:t>
            </w:r>
          </w:p>
        </w:tc>
      </w:tr>
      <w:tr>
        <w:tc>
          <w:tcPr>
            <w:tcW w:type="dxa" w:w="2880"/>
          </w:tcPr>
          <w:p>
            <w:r/>
            <w:r>
              <w:t>Prohibited (Art. 5)</w:t>
            </w:r>
          </w:p>
        </w:tc>
        <w:tc>
          <w:tcPr>
            <w:tcW w:type="dxa" w:w="2880"/>
          </w:tcPr>
          <w:p>
            <w:r/>
            <w:r>
              <w:t>No</w:t>
            </w:r>
          </w:p>
        </w:tc>
        <w:tc>
          <w:tcPr>
            <w:tcW w:type="dxa" w:w="2880"/>
          </w:tcPr>
          <w:p>
            <w:r/>
            <w:r>
              <w:t>Sam does not perform social scoring, biometric categorisation, manipulation, etc.</w:t>
            </w:r>
          </w:p>
        </w:tc>
      </w:tr>
      <w:tr>
        <w:tc>
          <w:tcPr>
            <w:tcW w:type="dxa" w:w="2880"/>
          </w:tcPr>
          <w:p>
            <w:r/>
            <w:r>
              <w:rPr>
                <w:b/>
              </w:rPr>
              <w:t>High-risk — Annex III §4 (employment / workers management)</w:t>
            </w:r>
          </w:p>
        </w:tc>
        <w:tc>
          <w:tcPr>
            <w:tcW w:type="dxa" w:w="2880"/>
          </w:tcPr>
          <w:p>
            <w:r/>
            <w:r>
              <w:rPr>
                <w:b/>
              </w:rPr>
              <w:t>Likely yes</w:t>
            </w:r>
          </w:p>
        </w:tc>
        <w:tc>
          <w:tcPr>
            <w:tcW w:type="dxa" w:w="2880"/>
          </w:tcPr>
          <w:p>
            <w:r/>
            <w:r>
              <w:t>Sam reads Firefish (candidates) and Odoo (HR). Even if Sam only "answers questions" rather than making the decision itself, EDPB and AI Office guidance treats AI that materially assists recruitment ranking, performance monitoring, or work-allocation as in scope. The Governor must confirm.</w:t>
            </w:r>
          </w:p>
        </w:tc>
      </w:tr>
      <w:tr>
        <w:tc>
          <w:tcPr>
            <w:tcW w:type="dxa" w:w="2880"/>
          </w:tcPr>
          <w:p>
            <w:r/>
            <w:r>
              <w:t>High-risk — Annex I (safety component of regulated products)</w:t>
            </w:r>
          </w:p>
        </w:tc>
        <w:tc>
          <w:tcPr>
            <w:tcW w:type="dxa" w:w="2880"/>
          </w:tcPr>
          <w:p>
            <w:r/>
            <w:r>
              <w:t>No</w:t>
            </w:r>
          </w:p>
        </w:tc>
        <w:tc>
          <w:tcPr>
            <w:tcW w:type="dxa" w:w="2880"/>
          </w:tcPr>
          <w:p>
            <w:r/>
            <w:r>
              <w:t>Not a safety component of any product.</w:t>
            </w:r>
          </w:p>
        </w:tc>
      </w:tr>
      <w:tr>
        <w:tc>
          <w:tcPr>
            <w:tcW w:type="dxa" w:w="2880"/>
          </w:tcPr>
          <w:p>
            <w:r/>
            <w:r>
              <w:t>Limited risk — chatbot transparency (Art. 50)</w:t>
            </w:r>
          </w:p>
        </w:tc>
        <w:tc>
          <w:tcPr>
            <w:tcW w:type="dxa" w:w="2880"/>
          </w:tcPr>
          <w:p>
            <w:r/>
            <w:r>
              <w:t xml:space="preserve">Yes, </w:t>
            </w:r>
            <w:r>
              <w:rPr>
                <w:b/>
              </w:rPr>
              <w:t>in addition</w:t>
            </w:r>
          </w:p>
        </w:tc>
        <w:tc>
          <w:tcPr>
            <w:tcW w:type="dxa" w:w="2880"/>
          </w:tcPr>
          <w:p>
            <w:r/>
            <w:r>
              <w:t>Sam interacts with natural persons → [[Article 50 - AI Transparency\</w:t>
            </w:r>
          </w:p>
        </w:tc>
      </w:tr>
      <w:tr>
        <w:tc>
          <w:tcPr>
            <w:tcW w:type="dxa" w:w="2880"/>
          </w:tcPr>
          <w:p>
            <w:r/>
            <w:r>
              <w:t>Minimal risk</w:t>
            </w:r>
          </w:p>
        </w:tc>
        <w:tc>
          <w:tcPr>
            <w:tcW w:type="dxa" w:w="2880"/>
          </w:tcPr>
          <w:p>
            <w:r/>
            <w:r>
              <w:t>n/a</w:t>
            </w:r>
          </w:p>
        </w:tc>
        <w:tc>
          <w:tcPr>
            <w:tcW w:type="dxa" w:w="2880"/>
          </w:tcPr>
          <w:p>
            <w:r/>
            <w:r>
              <w:t>Pre-empted by higher tier.</w:t>
            </w:r>
          </w:p>
        </w:tc>
      </w:tr>
    </w:tbl>
    <w:p/>
    <w:p>
      <w:r>
        <w:rPr>
          <w:b/>
        </w:rPr>
        <w:t>Conclusion (pending Governor sign-off):</w:t>
      </w:r>
      <w:r>
        <w:t xml:space="preserve"> classify Sam as </w:t>
      </w:r>
      <w:r>
        <w:rPr>
          <w:b/>
        </w:rPr>
        <w:t>high-risk under Annex III §4</w:t>
      </w:r>
      <w:r>
        <w:t xml:space="preserve">. Treat the full Art. 26 stack as applicable. If the Governor confirms Sam does </w:t>
      </w:r>
      <w:r>
        <w:rPr>
          <w:b/>
        </w:rPr>
        <w:t>not</w:t>
      </w:r>
      <w:r>
        <w:t xml:space="preserve"> influence recruitment or HR decisions in any way — i.e. it only summarises calendar and mail — re-classify as limited-risk with only Art. 50 applying. Record the decision and reasoning here.</w:t>
      </w:r>
    </w:p>
    <w:p/>
    <w:p>
      <w:pPr>
        <w:pStyle w:val="Heading2"/>
      </w:pPr>
      <w:r>
        <w:t>3. Article 26 deployer obligations — evidence checklist</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Sub-paragraph</w:t>
            </w:r>
          </w:p>
        </w:tc>
        <w:tc>
          <w:tcPr>
            <w:tcW w:type="dxa" w:w="2160"/>
          </w:tcPr>
          <w:p>
            <w:r>
              <w:rPr>
                <w:b/>
              </w:rPr>
            </w:r>
            <w:r>
              <w:rPr>
                <w:b/>
              </w:rPr>
              <w:t>Obligation</w:t>
            </w:r>
          </w:p>
        </w:tc>
        <w:tc>
          <w:tcPr>
            <w:tcW w:type="dxa" w:w="2160"/>
          </w:tcPr>
          <w:p>
            <w:r>
              <w:rPr>
                <w:b/>
              </w:rPr>
            </w:r>
            <w:r>
              <w:rPr>
                <w:b/>
              </w:rPr>
              <w:t>TRC evidence</w:t>
            </w:r>
          </w:p>
        </w:tc>
        <w:tc>
          <w:tcPr>
            <w:tcW w:type="dxa" w:w="2160"/>
          </w:tcPr>
          <w:p>
            <w:r>
              <w:rPr>
                <w:b/>
              </w:rPr>
            </w:r>
            <w:r>
              <w:rPr>
                <w:b/>
              </w:rPr>
              <w:t>Status</w:t>
            </w:r>
          </w:p>
        </w:tc>
      </w:tr>
      <w:tr>
        <w:tc>
          <w:tcPr>
            <w:tcW w:type="dxa" w:w="2160"/>
          </w:tcPr>
          <w:p>
            <w:r/>
            <w:r>
              <w:t>Art. 26(1)</w:t>
            </w:r>
          </w:p>
        </w:tc>
        <w:tc>
          <w:tcPr>
            <w:tcW w:type="dxa" w:w="2160"/>
          </w:tcPr>
          <w:p>
            <w:r/>
            <w:r>
              <w:t>Use system per provider's instructions</w:t>
            </w:r>
          </w:p>
        </w:tc>
        <w:tc>
          <w:tcPr>
            <w:tcW w:type="dxa" w:w="2160"/>
          </w:tcPr>
          <w:p>
            <w:r/>
            <w:r>
              <w:t>Anthropic [usage policies](https://www.anthropic.com/legal/usage-policy) acknowledged</w:t>
            </w:r>
          </w:p>
        </w:tc>
        <w:tc>
          <w:tcPr>
            <w:tcW w:type="dxa" w:w="2160"/>
          </w:tcPr>
          <w:p>
            <w:r/>
            <w:r>
              <w:rPr>
                <w:b/>
              </w:rPr>
              <w:t>OPEN</w:t>
            </w:r>
            <w:r>
              <w:t xml:space="preserve"> — Governor to confirm in writing</w:t>
            </w:r>
          </w:p>
        </w:tc>
      </w:tr>
      <w:tr>
        <w:tc>
          <w:tcPr>
            <w:tcW w:type="dxa" w:w="2160"/>
          </w:tcPr>
          <w:p>
            <w:r/>
            <w:r>
              <w:t>Art. 26(2)</w:t>
            </w:r>
          </w:p>
        </w:tc>
        <w:tc>
          <w:tcPr>
            <w:tcW w:type="dxa" w:w="2160"/>
          </w:tcPr>
          <w:p>
            <w:r/>
            <w:r>
              <w:t>Assign human oversight to competent persons</w:t>
            </w:r>
          </w:p>
        </w:tc>
        <w:tc>
          <w:tcPr>
            <w:tcW w:type="dxa" w:w="2160"/>
          </w:tcPr>
          <w:p>
            <w:r/>
            <w:r>
              <w:t>Governor named oversight authority. Competence evidenced by AI literacy training record.</w:t>
            </w:r>
          </w:p>
        </w:tc>
        <w:tc>
          <w:tcPr>
            <w:tcW w:type="dxa" w:w="2160"/>
          </w:tcPr>
          <w:p>
            <w:r/>
            <w:r>
              <w:rPr>
                <w:b/>
              </w:rPr>
              <w:t>DRAFT</w:t>
            </w:r>
          </w:p>
        </w:tc>
      </w:tr>
      <w:tr>
        <w:tc>
          <w:tcPr>
            <w:tcW w:type="dxa" w:w="2160"/>
          </w:tcPr>
          <w:p>
            <w:r/>
            <w:r>
              <w:t>Art. 26(4)</w:t>
            </w:r>
          </w:p>
        </w:tc>
        <w:tc>
          <w:tcPr>
            <w:tcW w:type="dxa" w:w="2160"/>
          </w:tcPr>
          <w:p>
            <w:r/>
            <w:r>
              <w:t>Input data relevance and representativeness</w:t>
            </w:r>
          </w:p>
        </w:tc>
        <w:tc>
          <w:tcPr>
            <w:tcW w:type="dxa" w:w="2160"/>
          </w:tcPr>
          <w:p>
            <w:r/>
            <w:r>
              <w:t>Sam's input data is Beverly's live operational data — by definition representative. Documented in [[Sam Chief of Staff\</w:t>
            </w:r>
          </w:p>
        </w:tc>
        <w:tc>
          <w:tcPr>
            <w:tcW w:type="dxa" w:w="2160"/>
          </w:tcPr>
          <w:p>
            <w:r/>
            <w:r>
              <w:t>ROPA]].</w:t>
            </w:r>
          </w:p>
        </w:tc>
      </w:tr>
      <w:tr>
        <w:tc>
          <w:tcPr>
            <w:tcW w:type="dxa" w:w="2160"/>
          </w:tcPr>
          <w:p>
            <w:r/>
            <w:r>
              <w:t>Art. 26(5)</w:t>
            </w:r>
          </w:p>
        </w:tc>
        <w:tc>
          <w:tcPr>
            <w:tcW w:type="dxa" w:w="2160"/>
          </w:tcPr>
          <w:p>
            <w:r/>
            <w:r>
              <w:t>Monitor operation, inform provider of risks</w:t>
            </w:r>
          </w:p>
        </w:tc>
        <w:tc>
          <w:tcPr>
            <w:tcW w:type="dxa" w:w="2160"/>
          </w:tcPr>
          <w:p>
            <w:r/>
            <w:r>
              <w:t>Quarterly review against Anthropic incidents page; incident workflow per `../07 Incidents/Procedure.md`</w:t>
            </w:r>
          </w:p>
        </w:tc>
        <w:tc>
          <w:tcPr>
            <w:tcW w:type="dxa" w:w="2160"/>
          </w:tcPr>
          <w:p>
            <w:r/>
            <w:r>
              <w:rPr>
                <w:b/>
              </w:rPr>
              <w:t>DRAFT</w:t>
            </w:r>
          </w:p>
        </w:tc>
      </w:tr>
      <w:tr>
        <w:tc>
          <w:tcPr>
            <w:tcW w:type="dxa" w:w="2160"/>
          </w:tcPr>
          <w:p>
            <w:r/>
            <w:r>
              <w:t>Art. 26(6)</w:t>
            </w:r>
          </w:p>
        </w:tc>
        <w:tc>
          <w:tcPr>
            <w:tcW w:type="dxa" w:w="2160"/>
          </w:tcPr>
          <w:p>
            <w:r/>
            <w:r>
              <w:t>Keep AI system logs ≥ 6 months</w:t>
            </w:r>
          </w:p>
        </w:tc>
        <w:tc>
          <w:tcPr>
            <w:tcW w:type="dxa" w:w="2160"/>
          </w:tcPr>
          <w:p>
            <w:r/>
            <w:r>
              <w:t xml:space="preserve">Railway log retention target ≥ 6 months. </w:t>
            </w:r>
            <w:r>
              <w:rPr>
                <w:b/>
              </w:rPr>
              <w:t>Action: confirm setting and capture screenshot.</w:t>
            </w:r>
          </w:p>
        </w:tc>
        <w:tc>
          <w:tcPr>
            <w:tcW w:type="dxa" w:w="2160"/>
          </w:tcPr>
          <w:p>
            <w:r/>
            <w:r>
              <w:rPr>
                <w:b/>
              </w:rPr>
              <w:t>GAP</w:t>
            </w:r>
          </w:p>
        </w:tc>
      </w:tr>
      <w:tr>
        <w:tc>
          <w:tcPr>
            <w:tcW w:type="dxa" w:w="2160"/>
          </w:tcPr>
          <w:p>
            <w:r/>
            <w:r>
              <w:t>Art. 26(7)</w:t>
            </w:r>
          </w:p>
        </w:tc>
        <w:tc>
          <w:tcPr>
            <w:tcW w:type="dxa" w:w="2160"/>
          </w:tcPr>
          <w:p>
            <w:r/>
            <w:r>
              <w:t>Inform workers before deploying high-risk AI</w:t>
            </w:r>
          </w:p>
        </w:tc>
        <w:tc>
          <w:tcPr>
            <w:tcW w:type="dxa" w:w="2160"/>
          </w:tcPr>
          <w:p>
            <w:r/>
            <w:r>
              <w:t xml:space="preserve">`../09 Notices/Worker Notification.md` to Beverly and any other worker whose data Sam reads. </w:t>
            </w:r>
            <w:r>
              <w:rPr>
                <w:b/>
              </w:rPr>
              <w:t>Action: serve and counter-sign.</w:t>
            </w:r>
          </w:p>
        </w:tc>
        <w:tc>
          <w:tcPr>
            <w:tcW w:type="dxa" w:w="2160"/>
          </w:tcPr>
          <w:p>
            <w:r/>
            <w:r>
              <w:rPr>
                <w:b/>
              </w:rPr>
              <w:t>GAP</w:t>
            </w:r>
          </w:p>
        </w:tc>
      </w:tr>
      <w:tr>
        <w:tc>
          <w:tcPr>
            <w:tcW w:type="dxa" w:w="2160"/>
          </w:tcPr>
          <w:p>
            <w:r/>
            <w:r>
              <w:t>Art. 26(8)</w:t>
            </w:r>
          </w:p>
        </w:tc>
        <w:tc>
          <w:tcPr>
            <w:tcW w:type="dxa" w:w="2160"/>
          </w:tcPr>
          <w:p>
            <w:r/>
            <w:r>
              <w:t>EU database registration</w:t>
            </w:r>
          </w:p>
        </w:tc>
        <w:tc>
          <w:tcPr>
            <w:tcW w:type="dxa" w:w="2160"/>
          </w:tcPr>
          <w:p>
            <w:r/>
            <w:r>
              <w:t>Applies to providers more than deployers; confirm via [EU AI Act database](https://digital-strategy.ec.europa.eu/en/policies/eu-ai-act) once live.</w:t>
            </w:r>
          </w:p>
        </w:tc>
        <w:tc>
          <w:tcPr>
            <w:tcW w:type="dxa" w:w="2160"/>
          </w:tcPr>
          <w:p>
            <w:r/>
            <w:r>
              <w:rPr>
                <w:b/>
              </w:rPr>
              <w:t>OPEN</w:t>
            </w:r>
          </w:p>
        </w:tc>
      </w:tr>
      <w:tr>
        <w:tc>
          <w:tcPr>
            <w:tcW w:type="dxa" w:w="2160"/>
          </w:tcPr>
          <w:p>
            <w:r/>
            <w:r>
              <w:t>Art. 26(9)</w:t>
            </w:r>
          </w:p>
        </w:tc>
        <w:tc>
          <w:tcPr>
            <w:tcW w:type="dxa" w:w="2160"/>
          </w:tcPr>
          <w:p>
            <w:r/>
            <w:r>
              <w:t>DPIA when necessary</w:t>
            </w:r>
          </w:p>
        </w:tc>
        <w:tc>
          <w:tcPr>
            <w:tcW w:type="dxa" w:w="2160"/>
          </w:tcPr>
          <w:p>
            <w:r/>
            <w:r>
              <w:t xml:space="preserve">`../03 DPIAs/Sam.md`. </w:t>
            </w:r>
            <w:r>
              <w:rPr>
                <w:b/>
              </w:rPr>
              <w:t>Action: complete.</w:t>
            </w:r>
          </w:p>
        </w:tc>
        <w:tc>
          <w:tcPr>
            <w:tcW w:type="dxa" w:w="2160"/>
          </w:tcPr>
          <w:p>
            <w:r/>
            <w:r>
              <w:rPr>
                <w:b/>
              </w:rPr>
              <w:t>GAP</w:t>
            </w:r>
          </w:p>
        </w:tc>
      </w:tr>
      <w:tr>
        <w:tc>
          <w:tcPr>
            <w:tcW w:type="dxa" w:w="2160"/>
          </w:tcPr>
          <w:p>
            <w:r/>
            <w:r>
              <w:t>Art. 26(12)</w:t>
            </w:r>
          </w:p>
        </w:tc>
        <w:tc>
          <w:tcPr>
            <w:tcW w:type="dxa" w:w="2160"/>
          </w:tcPr>
          <w:p>
            <w:r/>
            <w:r>
              <w:t>Cooperate with authorities</w:t>
            </w:r>
          </w:p>
        </w:tc>
        <w:tc>
          <w:tcPr>
            <w:tcW w:type="dxa" w:w="2160"/>
          </w:tcPr>
          <w:p>
            <w:r/>
            <w:r>
              <w:t>Procedure: route any inbound from IDPC or Maltese AI competent authority to Governor within 24 h.</w:t>
            </w:r>
          </w:p>
        </w:tc>
        <w:tc>
          <w:tcPr>
            <w:tcW w:type="dxa" w:w="2160"/>
          </w:tcPr>
          <w:p>
            <w:r/>
            <w:r>
              <w:rPr>
                <w:b/>
              </w:rPr>
              <w:t>DRAFT</w:t>
            </w:r>
          </w:p>
        </w:tc>
      </w:tr>
    </w:tbl>
    <w:p/>
    <w:p>
      <w:pPr>
        <w:pStyle w:val="Heading2"/>
      </w:pPr>
      <w:r>
        <w:t>4. Article 50 transparency</w:t>
      </w:r>
    </w:p>
    <w:p/>
    <w:p>
      <w:r>
        <w:t xml:space="preserve">From </w:t>
      </w:r>
      <w:r>
        <w:rPr>
          <w:b/>
        </w:rPr>
        <w:t>2 August 2026</w:t>
      </w:r>
      <w:r>
        <w:t>, Sam must disclose to every user at the time of first interaction that they are talking to an AI. See `../09 Notices/AI Transparency Notice.md` for the wording.</w:t>
      </w:r>
    </w:p>
    <w:p/>
    <w:p>
      <w:r>
        <w:rPr>
          <w:b/>
        </w:rPr>
        <w:t>Implementation:</w:t>
      </w:r>
      <w:r>
        <w:t xml:space="preserve"> on first message from a new Telegram chat or WhatsApp thread, Sam prepends a one-sentence disclosure. The disclosure is also documented in the Telegram bot description and WhatsApp business profile.</w:t>
      </w:r>
    </w:p>
    <w:p/>
    <w:p>
      <w:pPr>
        <w:pStyle w:val="Heading2"/>
      </w:pPr>
      <w:r>
        <w:t>5. AI literacy (Art. 4 — already in force)</w:t>
      </w:r>
    </w:p>
    <w:p/>
    <w:p>
      <w:r>
        <w:t>Beverly (primary user), Jonathan (Governor), and any TRC staff who operate Sam must have completed the AI Literacy Programme defined in `../08 Policies/AI Literacy Programme.md`. Training records live in `../Evidence/`.</w:t>
      </w:r>
    </w:p>
    <w:p/>
    <w:p>
      <w:pPr>
        <w:pStyle w:val="Heading2"/>
      </w:pPr>
      <w:r>
        <w:t>6. Data protection link</w:t>
      </w:r>
    </w:p>
    <w:p/>
    <w:p>
      <w:r>
        <w:t>This AI system register entry is paired with:</w:t>
      </w:r>
    </w:p>
    <w:p/>
    <w:p>
      <w:pPr>
        <w:pStyle w:val="ListBullet"/>
      </w:pPr>
      <w:r>
        <w:rPr>
          <w:b/>
        </w:rPr>
        <w:t>ROPA:</w:t>
      </w:r>
      <w:r>
        <w:t xml:space="preserve"> Sam Chief of Staff — `../01 Records of Processing/Sam Chief of Staff.md`</w:t>
      </w:r>
    </w:p>
    <w:p>
      <w:pPr>
        <w:pStyle w:val="ListBullet"/>
      </w:pPr>
      <w:r>
        <w:rPr>
          <w:b/>
        </w:rPr>
        <w:t>DPIA:</w:t>
      </w:r>
      <w:r>
        <w:t xml:space="preserve"> `../03 DPIAs/Sam.md`</w:t>
      </w:r>
    </w:p>
    <w:p>
      <w:pPr>
        <w:pStyle w:val="ListBullet"/>
      </w:pPr>
      <w:r>
        <w:rPr>
          <w:b/>
        </w:rPr>
        <w:t>Processors:</w:t>
      </w:r>
      <w:r>
        <w:t xml:space="preserve"> Anthropic, Microsoft, Railway, Firefish, Odoo. See `../05 Processors and DPAs/Register.md`.</w:t>
      </w:r>
    </w:p>
    <w:p>
      <w:pPr>
        <w:pStyle w:val="ListBullet"/>
      </w:pPr>
      <w:r>
        <w:rPr>
          <w:b/>
        </w:rPr>
        <w:t>International transfers:</w:t>
      </w:r>
      <w:r>
        <w:t xml:space="preserve"> Anthropic (US), Microsoft (US). See `../04 International Transfers/Transfer Register.md`.</w:t>
      </w:r>
    </w:p>
    <w:p/>
    <w:p>
      <w:pPr>
        <w:pStyle w:val="Heading2"/>
      </w:pPr>
      <w:r>
        <w:t>7. Change history</w:t>
      </w:r>
    </w:p>
    <w:p/>
    <w:p>
      <w:pPr>
        <w:pStyle w:val="ListBullet"/>
      </w:pPr>
      <w:r>
        <w:rPr>
          <w:b/>
        </w:rPr>
        <w:t>2026-05-22</w:t>
      </w:r>
      <w:r>
        <w:t xml:space="preserve"> — initial entry. Classification pending Governor confirmation.</w:t>
      </w:r>
    </w:p>
    <w:p>
      <w:pPr>
        <w:pStyle w:val="Heading2"/>
      </w:pPr>
      <w:r>
        <w:t>&lt;System name&gt;</w:t>
      </w:r>
    </w:p>
    <w:p>
      <w:pPr>
        <w:pStyle w:val="Heading1"/>
      </w:pPr>
      <w:r>
        <w:t>AI System Register Entry — &lt;System name&gt;</w:t>
      </w:r>
    </w:p>
    <w:p/>
    <w:p>
      <w:pPr>
        <w:pStyle w:val="Heading2"/>
      </w:pPr>
      <w:r>
        <w:t>1. System description (plain English)</w:t>
      </w:r>
    </w:p>
    <w:p>
      <w:r>
        <w:t>&lt;2-4 sentences&gt;</w:t>
      </w:r>
    </w:p>
    <w:p/>
    <w:p>
      <w:pPr>
        <w:pStyle w:val="Heading2"/>
      </w:pPr>
      <w:r>
        <w:t>2. Risk classification under the EU AI Act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Tier</w:t>
            </w:r>
          </w:p>
        </w:tc>
        <w:tc>
          <w:tcPr>
            <w:tcW w:type="dxa" w:w="2880"/>
          </w:tcPr>
          <w:p>
            <w:r>
              <w:rPr>
                <w:b/>
              </w:rPr>
            </w:r>
            <w:r>
              <w:rPr>
                <w:b/>
              </w:rPr>
              <w:t>Applies?</w:t>
            </w:r>
          </w:p>
        </w:tc>
        <w:tc>
          <w:tcPr>
            <w:tcW w:type="dxa" w:w="2880"/>
          </w:tcPr>
          <w:p>
            <w:r>
              <w:rPr>
                <w:b/>
              </w:rPr>
            </w:r>
            <w:r>
              <w:rPr>
                <w:b/>
              </w:rPr>
              <w:t>Why</w:t>
            </w:r>
          </w:p>
        </w:tc>
      </w:tr>
      <w:tr>
        <w:tc>
          <w:tcPr>
            <w:tcW w:type="dxa" w:w="2880"/>
          </w:tcPr>
          <w:p>
            <w:r/>
            <w:r>
              <w:t>Prohibited (Art. 5)</w:t>
            </w:r>
          </w:p>
        </w:tc>
        <w:tc>
          <w:tcPr>
            <w:tcW w:type="dxa" w:w="2880"/>
          </w:tcPr>
          <w:p>
            <w:r/>
          </w:p>
        </w:tc>
        <w:tc>
          <w:tcPr>
            <w:tcW w:type="dxa" w:w="2880"/>
          </w:tcPr>
          <w:p>
            <w:r/>
          </w:p>
        </w:tc>
      </w:tr>
      <w:tr>
        <w:tc>
          <w:tcPr>
            <w:tcW w:type="dxa" w:w="2880"/>
          </w:tcPr>
          <w:p>
            <w:r/>
            <w:r>
              <w:t>High-risk Annex I</w:t>
            </w:r>
          </w:p>
        </w:tc>
        <w:tc>
          <w:tcPr>
            <w:tcW w:type="dxa" w:w="2880"/>
          </w:tcPr>
          <w:p>
            <w:r/>
          </w:p>
        </w:tc>
        <w:tc>
          <w:tcPr>
            <w:tcW w:type="dxa" w:w="2880"/>
          </w:tcPr>
          <w:p>
            <w:r/>
          </w:p>
        </w:tc>
      </w:tr>
      <w:tr>
        <w:tc>
          <w:tcPr>
            <w:tcW w:type="dxa" w:w="2880"/>
          </w:tcPr>
          <w:p>
            <w:r/>
            <w:r>
              <w:t>High-risk Annex III §&lt;n&gt;</w:t>
            </w:r>
          </w:p>
        </w:tc>
        <w:tc>
          <w:tcPr>
            <w:tcW w:type="dxa" w:w="2880"/>
          </w:tcPr>
          <w:p>
            <w:r/>
          </w:p>
        </w:tc>
        <w:tc>
          <w:tcPr>
            <w:tcW w:type="dxa" w:w="2880"/>
          </w:tcPr>
          <w:p>
            <w:r/>
          </w:p>
        </w:tc>
      </w:tr>
      <w:tr>
        <w:tc>
          <w:tcPr>
            <w:tcW w:type="dxa" w:w="2880"/>
          </w:tcPr>
          <w:p>
            <w:r/>
            <w:r>
              <w:t>Limited risk (Art. 50)</w:t>
            </w:r>
          </w:p>
        </w:tc>
        <w:tc>
          <w:tcPr>
            <w:tcW w:type="dxa" w:w="2880"/>
          </w:tcPr>
          <w:p>
            <w:r/>
          </w:p>
        </w:tc>
        <w:tc>
          <w:tcPr>
            <w:tcW w:type="dxa" w:w="2880"/>
          </w:tcPr>
          <w:p>
            <w:r/>
          </w:p>
        </w:tc>
      </w:tr>
      <w:tr>
        <w:tc>
          <w:tcPr>
            <w:tcW w:type="dxa" w:w="2880"/>
          </w:tcPr>
          <w:p>
            <w:r/>
            <w:r>
              <w:t>Minimal</w:t>
            </w:r>
          </w:p>
        </w:tc>
        <w:tc>
          <w:tcPr>
            <w:tcW w:type="dxa" w:w="2880"/>
          </w:tcPr>
          <w:p>
            <w:r/>
          </w:p>
        </w:tc>
        <w:tc>
          <w:tcPr>
            <w:tcW w:type="dxa" w:w="2880"/>
          </w:tcPr>
          <w:p>
            <w:r/>
          </w:p>
        </w:tc>
      </w:tr>
    </w:tbl>
    <w:p/>
    <w:p>
      <w:r>
        <w:rPr>
          <w:b/>
        </w:rPr>
        <w:t>Conclusion:</w:t>
      </w:r>
      <w:r>
        <w:t xml:space="preserve"> &lt;classification + reasoning&gt;</w:t>
      </w:r>
    </w:p>
    <w:p/>
    <w:p>
      <w:pPr>
        <w:pStyle w:val="Heading2"/>
      </w:pPr>
      <w:r>
        <w:t>3. Article 26 deployer obligations</w:t>
      </w:r>
    </w:p>
    <w:p>
      <w:r>
        <w:t>(Only complete if high-risk.)</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Sub-para</w:t>
            </w:r>
          </w:p>
        </w:tc>
        <w:tc>
          <w:tcPr>
            <w:tcW w:type="dxa" w:w="2160"/>
          </w:tcPr>
          <w:p>
            <w:r>
              <w:rPr>
                <w:b/>
              </w:rPr>
            </w:r>
            <w:r>
              <w:rPr>
                <w:b/>
              </w:rPr>
              <w:t>Obligation</w:t>
            </w:r>
          </w:p>
        </w:tc>
        <w:tc>
          <w:tcPr>
            <w:tcW w:type="dxa" w:w="2160"/>
          </w:tcPr>
          <w:p>
            <w:r>
              <w:rPr>
                <w:b/>
              </w:rPr>
            </w:r>
            <w:r>
              <w:rPr>
                <w:b/>
              </w:rPr>
              <w:t>Evidence</w:t>
            </w:r>
          </w:p>
        </w:tc>
        <w:tc>
          <w:tcPr>
            <w:tcW w:type="dxa" w:w="2160"/>
          </w:tcPr>
          <w:p>
            <w:r>
              <w:rPr>
                <w:b/>
              </w:rPr>
            </w:r>
            <w:r>
              <w:rPr>
                <w:b/>
              </w:rPr>
              <w:t>Status</w:t>
            </w:r>
          </w:p>
        </w:tc>
      </w:tr>
      <w:tr>
        <w:tc>
          <w:tcPr>
            <w:tcW w:type="dxa" w:w="2160"/>
          </w:tcPr>
          <w:p>
            <w:r/>
            <w:r>
              <w:t>Art. 26(1)</w:t>
            </w:r>
          </w:p>
        </w:tc>
        <w:tc>
          <w:tcPr>
            <w:tcW w:type="dxa" w:w="2160"/>
          </w:tcPr>
          <w:p>
            <w:r/>
            <w:r>
              <w:t>Per provider instructions</w:t>
            </w:r>
          </w:p>
        </w:tc>
        <w:tc>
          <w:tcPr>
            <w:tcW w:type="dxa" w:w="2160"/>
          </w:tcPr>
          <w:p>
            <w:r/>
          </w:p>
        </w:tc>
        <w:tc>
          <w:tcPr>
            <w:tcW w:type="dxa" w:w="2160"/>
          </w:tcPr>
          <w:p>
            <w:r/>
          </w:p>
        </w:tc>
      </w:tr>
      <w:tr>
        <w:tc>
          <w:tcPr>
            <w:tcW w:type="dxa" w:w="2160"/>
          </w:tcPr>
          <w:p>
            <w:r/>
            <w:r>
              <w:t>Art. 26(2)</w:t>
            </w:r>
          </w:p>
        </w:tc>
        <w:tc>
          <w:tcPr>
            <w:tcW w:type="dxa" w:w="2160"/>
          </w:tcPr>
          <w:p>
            <w:r/>
            <w:r>
              <w:t>Human oversight</w:t>
            </w:r>
          </w:p>
        </w:tc>
        <w:tc>
          <w:tcPr>
            <w:tcW w:type="dxa" w:w="2160"/>
          </w:tcPr>
          <w:p>
            <w:r/>
          </w:p>
        </w:tc>
        <w:tc>
          <w:tcPr>
            <w:tcW w:type="dxa" w:w="2160"/>
          </w:tcPr>
          <w:p>
            <w:r/>
          </w:p>
        </w:tc>
      </w:tr>
      <w:tr>
        <w:tc>
          <w:tcPr>
            <w:tcW w:type="dxa" w:w="2160"/>
          </w:tcPr>
          <w:p>
            <w:r/>
            <w:r>
              <w:t>Art. 26(4)</w:t>
            </w:r>
          </w:p>
        </w:tc>
        <w:tc>
          <w:tcPr>
            <w:tcW w:type="dxa" w:w="2160"/>
          </w:tcPr>
          <w:p>
            <w:r/>
            <w:r>
              <w:t>Input data</w:t>
            </w:r>
          </w:p>
        </w:tc>
        <w:tc>
          <w:tcPr>
            <w:tcW w:type="dxa" w:w="2160"/>
          </w:tcPr>
          <w:p>
            <w:r/>
          </w:p>
        </w:tc>
        <w:tc>
          <w:tcPr>
            <w:tcW w:type="dxa" w:w="2160"/>
          </w:tcPr>
          <w:p>
            <w:r/>
          </w:p>
        </w:tc>
      </w:tr>
      <w:tr>
        <w:tc>
          <w:tcPr>
            <w:tcW w:type="dxa" w:w="2160"/>
          </w:tcPr>
          <w:p>
            <w:r/>
            <w:r>
              <w:t>Art. 26(5)</w:t>
            </w:r>
          </w:p>
        </w:tc>
        <w:tc>
          <w:tcPr>
            <w:tcW w:type="dxa" w:w="2160"/>
          </w:tcPr>
          <w:p>
            <w:r/>
            <w:r>
              <w:t>Monitoring</w:t>
            </w:r>
          </w:p>
        </w:tc>
        <w:tc>
          <w:tcPr>
            <w:tcW w:type="dxa" w:w="2160"/>
          </w:tcPr>
          <w:p>
            <w:r/>
          </w:p>
        </w:tc>
        <w:tc>
          <w:tcPr>
            <w:tcW w:type="dxa" w:w="2160"/>
          </w:tcPr>
          <w:p>
            <w:r/>
          </w:p>
        </w:tc>
      </w:tr>
      <w:tr>
        <w:tc>
          <w:tcPr>
            <w:tcW w:type="dxa" w:w="2160"/>
          </w:tcPr>
          <w:p>
            <w:r/>
            <w:r>
              <w:t>Art. 26(6)</w:t>
            </w:r>
          </w:p>
        </w:tc>
        <w:tc>
          <w:tcPr>
            <w:tcW w:type="dxa" w:w="2160"/>
          </w:tcPr>
          <w:p>
            <w:r/>
            <w:r>
              <w:t>Logs ≥ 6 months</w:t>
            </w:r>
          </w:p>
        </w:tc>
        <w:tc>
          <w:tcPr>
            <w:tcW w:type="dxa" w:w="2160"/>
          </w:tcPr>
          <w:p>
            <w:r/>
          </w:p>
        </w:tc>
        <w:tc>
          <w:tcPr>
            <w:tcW w:type="dxa" w:w="2160"/>
          </w:tcPr>
          <w:p>
            <w:r/>
          </w:p>
        </w:tc>
      </w:tr>
      <w:tr>
        <w:tc>
          <w:tcPr>
            <w:tcW w:type="dxa" w:w="2160"/>
          </w:tcPr>
          <w:p>
            <w:r/>
            <w:r>
              <w:t>Art. 26(7)</w:t>
            </w:r>
          </w:p>
        </w:tc>
        <w:tc>
          <w:tcPr>
            <w:tcW w:type="dxa" w:w="2160"/>
          </w:tcPr>
          <w:p>
            <w:r/>
            <w:r>
              <w:t>Worker notification</w:t>
            </w:r>
          </w:p>
        </w:tc>
        <w:tc>
          <w:tcPr>
            <w:tcW w:type="dxa" w:w="2160"/>
          </w:tcPr>
          <w:p>
            <w:r/>
          </w:p>
        </w:tc>
        <w:tc>
          <w:tcPr>
            <w:tcW w:type="dxa" w:w="2160"/>
          </w:tcPr>
          <w:p>
            <w:r/>
          </w:p>
        </w:tc>
      </w:tr>
      <w:tr>
        <w:tc>
          <w:tcPr>
            <w:tcW w:type="dxa" w:w="2160"/>
          </w:tcPr>
          <w:p>
            <w:r/>
            <w:r>
              <w:t>Art. 26(8)</w:t>
            </w:r>
          </w:p>
        </w:tc>
        <w:tc>
          <w:tcPr>
            <w:tcW w:type="dxa" w:w="2160"/>
          </w:tcPr>
          <w:p>
            <w:r/>
            <w:r>
              <w:t>EU database</w:t>
            </w:r>
          </w:p>
        </w:tc>
        <w:tc>
          <w:tcPr>
            <w:tcW w:type="dxa" w:w="2160"/>
          </w:tcPr>
          <w:p>
            <w:r/>
          </w:p>
        </w:tc>
        <w:tc>
          <w:tcPr>
            <w:tcW w:type="dxa" w:w="2160"/>
          </w:tcPr>
          <w:p>
            <w:r/>
          </w:p>
        </w:tc>
      </w:tr>
      <w:tr>
        <w:tc>
          <w:tcPr>
            <w:tcW w:type="dxa" w:w="2160"/>
          </w:tcPr>
          <w:p>
            <w:r/>
            <w:r>
              <w:t>Art. 26(9)</w:t>
            </w:r>
          </w:p>
        </w:tc>
        <w:tc>
          <w:tcPr>
            <w:tcW w:type="dxa" w:w="2160"/>
          </w:tcPr>
          <w:p>
            <w:r/>
            <w:r>
              <w:t>DPIA</w:t>
            </w:r>
          </w:p>
        </w:tc>
        <w:tc>
          <w:tcPr>
            <w:tcW w:type="dxa" w:w="2160"/>
          </w:tcPr>
          <w:p>
            <w:r/>
          </w:p>
        </w:tc>
        <w:tc>
          <w:tcPr>
            <w:tcW w:type="dxa" w:w="2160"/>
          </w:tcPr>
          <w:p>
            <w:r/>
          </w:p>
        </w:tc>
      </w:tr>
      <w:tr>
        <w:tc>
          <w:tcPr>
            <w:tcW w:type="dxa" w:w="2160"/>
          </w:tcPr>
          <w:p>
            <w:r/>
            <w:r>
              <w:t>Art. 26(12)</w:t>
            </w:r>
          </w:p>
        </w:tc>
        <w:tc>
          <w:tcPr>
            <w:tcW w:type="dxa" w:w="2160"/>
          </w:tcPr>
          <w:p>
            <w:r/>
            <w:r>
              <w:t>Cooperation with authorities</w:t>
            </w:r>
          </w:p>
        </w:tc>
        <w:tc>
          <w:tcPr>
            <w:tcW w:type="dxa" w:w="2160"/>
          </w:tcPr>
          <w:p>
            <w:r/>
          </w:p>
        </w:tc>
        <w:tc>
          <w:tcPr>
            <w:tcW w:type="dxa" w:w="2160"/>
          </w:tcPr>
          <w:p>
            <w:r/>
          </w:p>
        </w:tc>
      </w:tr>
    </w:tbl>
    <w:p/>
    <w:p>
      <w:pPr>
        <w:pStyle w:val="Heading2"/>
      </w:pPr>
      <w:r>
        <w:t>4. Article 50 transparency</w:t>
      </w:r>
    </w:p>
    <w:p>
      <w:r>
        <w:t>&lt;wording + implementation point&gt;</w:t>
      </w:r>
    </w:p>
    <w:p/>
    <w:p>
      <w:pPr>
        <w:pStyle w:val="Heading2"/>
      </w:pPr>
      <w:r>
        <w:t>5. AI literacy</w:t>
      </w:r>
    </w:p>
    <w:p>
      <w:r>
        <w:t>&lt;who is trained, where the records live&gt;</w:t>
      </w:r>
    </w:p>
    <w:p/>
    <w:p>
      <w:pPr>
        <w:pStyle w:val="Heading2"/>
      </w:pPr>
      <w:r>
        <w:t>6. Data protection link</w:t>
      </w:r>
    </w:p>
    <w:p>
      <w:pPr>
        <w:pStyle w:val="ListBullet"/>
      </w:pPr>
      <w:r>
        <w:t>ROPA: …</w:t>
      </w:r>
    </w:p>
    <w:p>
      <w:pPr>
        <w:pStyle w:val="ListBullet"/>
      </w:pPr>
      <w:r>
        <w:t>DPIA: …</w:t>
      </w:r>
    </w:p>
    <w:p>
      <w:pPr>
        <w:pStyle w:val="ListBullet"/>
      </w:pPr>
      <w:r>
        <w:t>Processors: …</w:t>
      </w:r>
    </w:p>
    <w:p>
      <w:pPr>
        <w:pStyle w:val="ListBullet"/>
      </w:pPr>
      <w:r>
        <w:t>International transfers: …</w:t>
      </w:r>
    </w:p>
    <w:p/>
    <w:p>
      <w:pPr>
        <w:pStyle w:val="Heading2"/>
      </w:pPr>
      <w:r>
        <w:t>7. Change history</w:t>
      </w:r>
    </w:p>
    <w:p>
      <w:pPr>
        <w:pStyle w:val="ListBullet"/>
      </w:pPr>
      <w:r>
        <w:t>YYYY-MM-DD — &lt;event&gt;</w:t>
      </w:r>
    </w:p>
    <w:p>
      <w:r>
        <w:br w:type="page"/>
      </w:r>
    </w:p>
    <w:p>
      <w:pPr>
        <w:pStyle w:val="Heading1"/>
        <w:jc w:val="left"/>
      </w:pPr>
      <w:r>
        <w:t>03 DPIAs</w:t>
      </w:r>
    </w:p>
    <w:p>
      <w:pPr>
        <w:pStyle w:val="Heading2"/>
      </w:pPr>
      <w:r>
        <w:t>Template</w:t>
      </w:r>
    </w:p>
    <w:p>
      <w:pPr>
        <w:pStyle w:val="Heading1"/>
      </w:pPr>
      <w:r>
        <w:t>Data Protection Impact Assessment — &lt;subject&gt;</w:t>
      </w:r>
    </w:p>
    <w:p/>
    <w:p>
      <w:r>
        <w:t>Combined assessment for GDPR Art. 35 and (where applicable) AI Act Art. 26(9).</w:t>
      </w:r>
    </w:p>
    <w:p/>
    <w:p>
      <w:pPr>
        <w:pStyle w:val="Heading2"/>
      </w:pPr>
      <w:r>
        <w:t>1. Description of the processing</w:t>
      </w:r>
    </w:p>
    <w:p>
      <w:r>
        <w:t>Nature, scope, context, and purposes. Reference the paired ROPA and AI System Register entry.</w:t>
      </w:r>
    </w:p>
    <w:p/>
    <w:p>
      <w:pPr>
        <w:pStyle w:val="Heading2"/>
      </w:pPr>
      <w:r>
        <w:t>2. Necessity and proportionality</w:t>
      </w:r>
    </w:p>
    <w:p>
      <w:r>
        <w:t>Why is the processing necessary? What less-intrusive alternative was considered?</w:t>
      </w:r>
    </w:p>
    <w:p/>
    <w:p>
      <w:pPr>
        <w:pStyle w:val="Heading2"/>
      </w:pPr>
      <w:r>
        <w:t>3. Consultation</w:t>
      </w:r>
    </w:p>
    <w:p>
      <w:r>
        <w:t>Have data subjects (or their representatives) been consulted? If not, why not?</w:t>
      </w:r>
    </w:p>
    <w:p/>
    <w:p>
      <w:pPr>
        <w:pStyle w:val="Heading2"/>
      </w:pPr>
      <w:r>
        <w:t>4. Risks to rights and freedoms</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Risk</w:t>
            </w:r>
          </w:p>
        </w:tc>
        <w:tc>
          <w:tcPr>
            <w:tcW w:type="dxa" w:w="2160"/>
          </w:tcPr>
          <w:p>
            <w:r>
              <w:rPr>
                <w:b/>
              </w:rPr>
            </w:r>
            <w:r>
              <w:rPr>
                <w:b/>
              </w:rPr>
              <w:t>Likelihood (L/M/H)</w:t>
            </w:r>
          </w:p>
        </w:tc>
        <w:tc>
          <w:tcPr>
            <w:tcW w:type="dxa" w:w="2160"/>
          </w:tcPr>
          <w:p>
            <w:r>
              <w:rPr>
                <w:b/>
              </w:rPr>
            </w:r>
            <w:r>
              <w:rPr>
                <w:b/>
              </w:rPr>
              <w:t>Severity (L/M/H)</w:t>
            </w:r>
          </w:p>
        </w:tc>
        <w:tc>
          <w:tcPr>
            <w:tcW w:type="dxa" w:w="2160"/>
          </w:tcPr>
          <w:p>
            <w:r>
              <w:rPr>
                <w:b/>
              </w:rPr>
            </w:r>
            <w:r>
              <w:rPr>
                <w:b/>
              </w:rPr>
              <w:t>Inherent rating</w:t>
            </w:r>
          </w:p>
        </w:tc>
      </w:tr>
      <w:tr>
        <w:tc>
          <w:tcPr>
            <w:tcW w:type="dxa" w:w="2160"/>
          </w:tcPr>
          <w:p>
            <w:r/>
            <w:r>
              <w:t>Unauthorised access to personal data via stolen API key</w:t>
            </w:r>
          </w:p>
        </w:tc>
        <w:tc>
          <w:tcPr>
            <w:tcW w:type="dxa" w:w="2160"/>
          </w:tcPr>
          <w:p>
            <w:r/>
          </w:p>
        </w:tc>
        <w:tc>
          <w:tcPr>
            <w:tcW w:type="dxa" w:w="2160"/>
          </w:tcPr>
          <w:p>
            <w:r/>
          </w:p>
        </w:tc>
        <w:tc>
          <w:tcPr>
            <w:tcW w:type="dxa" w:w="2160"/>
          </w:tcPr>
          <w:p>
            <w:r/>
          </w:p>
        </w:tc>
      </w:tr>
      <w:tr>
        <w:tc>
          <w:tcPr>
            <w:tcW w:type="dxa" w:w="2160"/>
          </w:tcPr>
          <w:p>
            <w:r/>
            <w:r>
              <w:t>Prompt content sent to a US provider exposed by a US legal order</w:t>
            </w:r>
          </w:p>
        </w:tc>
        <w:tc>
          <w:tcPr>
            <w:tcW w:type="dxa" w:w="2160"/>
          </w:tcPr>
          <w:p>
            <w:r/>
          </w:p>
        </w:tc>
        <w:tc>
          <w:tcPr>
            <w:tcW w:type="dxa" w:w="2160"/>
          </w:tcPr>
          <w:p>
            <w:r/>
          </w:p>
        </w:tc>
        <w:tc>
          <w:tcPr>
            <w:tcW w:type="dxa" w:w="2160"/>
          </w:tcPr>
          <w:p>
            <w:r/>
          </w:p>
        </w:tc>
      </w:tr>
      <w:tr>
        <w:tc>
          <w:tcPr>
            <w:tcW w:type="dxa" w:w="2160"/>
          </w:tcPr>
          <w:p>
            <w:r/>
            <w:r>
              <w:t>AI inference produces a biased recommendation affecting a candidate</w:t>
            </w:r>
          </w:p>
        </w:tc>
        <w:tc>
          <w:tcPr>
            <w:tcW w:type="dxa" w:w="2160"/>
          </w:tcPr>
          <w:p>
            <w:r/>
          </w:p>
        </w:tc>
        <w:tc>
          <w:tcPr>
            <w:tcW w:type="dxa" w:w="2160"/>
          </w:tcPr>
          <w:p>
            <w:r/>
          </w:p>
        </w:tc>
        <w:tc>
          <w:tcPr>
            <w:tcW w:type="dxa" w:w="2160"/>
          </w:tcPr>
          <w:p>
            <w:r/>
          </w:p>
        </w:tc>
      </w:tr>
      <w:tr>
        <w:tc>
          <w:tcPr>
            <w:tcW w:type="dxa" w:w="2160"/>
          </w:tcPr>
          <w:p>
            <w:r/>
            <w:r>
              <w:t>Worker not informed of high-risk AI use</w:t>
            </w:r>
          </w:p>
        </w:tc>
        <w:tc>
          <w:tcPr>
            <w:tcW w:type="dxa" w:w="2160"/>
          </w:tcPr>
          <w:p>
            <w:r/>
          </w:p>
        </w:tc>
        <w:tc>
          <w:tcPr>
            <w:tcW w:type="dxa" w:w="2160"/>
          </w:tcPr>
          <w:p>
            <w:r/>
          </w:p>
        </w:tc>
        <w:tc>
          <w:tcPr>
            <w:tcW w:type="dxa" w:w="2160"/>
          </w:tcPr>
          <w:p>
            <w:r/>
          </w:p>
        </w:tc>
      </w:tr>
      <w:tr>
        <w:tc>
          <w:tcPr>
            <w:tcW w:type="dxa" w:w="2160"/>
          </w:tcPr>
          <w:p>
            <w:r/>
            <w:r>
              <w:t>Logs retained shorter than 6 months — Art. 26(6) breach</w:t>
            </w:r>
          </w:p>
        </w:tc>
        <w:tc>
          <w:tcPr>
            <w:tcW w:type="dxa" w:w="2160"/>
          </w:tcPr>
          <w:p>
            <w:r/>
          </w:p>
        </w:tc>
        <w:tc>
          <w:tcPr>
            <w:tcW w:type="dxa" w:w="2160"/>
          </w:tcPr>
          <w:p>
            <w:r/>
          </w:p>
        </w:tc>
        <w:tc>
          <w:tcPr>
            <w:tcW w:type="dxa" w:w="2160"/>
          </w:tcPr>
          <w:p>
            <w:r/>
          </w:p>
        </w:tc>
      </w:tr>
      <w:tr>
        <w:tc>
          <w:tcPr>
            <w:tcW w:type="dxa" w:w="2160"/>
          </w:tcPr>
          <w:p>
            <w:r/>
            <w:r>
              <w:t>Data-subject rights request cannot be fulfilled in time</w:t>
            </w:r>
          </w:p>
        </w:tc>
        <w:tc>
          <w:tcPr>
            <w:tcW w:type="dxa" w:w="2160"/>
          </w:tcPr>
          <w:p>
            <w:r/>
          </w:p>
        </w:tc>
        <w:tc>
          <w:tcPr>
            <w:tcW w:type="dxa" w:w="2160"/>
          </w:tcPr>
          <w:p>
            <w:r/>
          </w:p>
        </w:tc>
        <w:tc>
          <w:tcPr>
            <w:tcW w:type="dxa" w:w="2160"/>
          </w:tcPr>
          <w:p>
            <w:r/>
          </w:p>
        </w:tc>
      </w:tr>
    </w:tbl>
    <w:p/>
    <w:p>
      <w:pPr>
        <w:pStyle w:val="Heading2"/>
      </w:pPr>
      <w:r>
        <w:t>5. Measures to address risks</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Risk</w:t>
            </w:r>
          </w:p>
        </w:tc>
        <w:tc>
          <w:tcPr>
            <w:tcW w:type="dxa" w:w="1728"/>
          </w:tcPr>
          <w:p>
            <w:r>
              <w:rPr>
                <w:b/>
              </w:rPr>
            </w:r>
            <w:r>
              <w:rPr>
                <w:b/>
              </w:rPr>
              <w:t>Mitigation</w:t>
            </w:r>
          </w:p>
        </w:tc>
        <w:tc>
          <w:tcPr>
            <w:tcW w:type="dxa" w:w="1728"/>
          </w:tcPr>
          <w:p>
            <w:r>
              <w:rPr>
                <w:b/>
              </w:rPr>
            </w:r>
            <w:r>
              <w:rPr>
                <w:b/>
              </w:rPr>
              <w:t>Owner</w:t>
            </w:r>
          </w:p>
        </w:tc>
        <w:tc>
          <w:tcPr>
            <w:tcW w:type="dxa" w:w="1728"/>
          </w:tcPr>
          <w:p>
            <w:r>
              <w:rPr>
                <w:b/>
              </w:rPr>
            </w:r>
            <w:r>
              <w:rPr>
                <w:b/>
              </w:rPr>
              <w:t>Evidence</w:t>
            </w:r>
          </w:p>
        </w:tc>
        <w:tc>
          <w:tcPr>
            <w:tcW w:type="dxa" w:w="1728"/>
          </w:tcPr>
          <w:p>
            <w:r>
              <w:rPr>
                <w:b/>
              </w:rPr>
            </w:r>
            <w:r>
              <w:rPr>
                <w:b/>
              </w:rPr>
              <w:t>Residual rating</w:t>
            </w:r>
          </w:p>
        </w:tc>
      </w:tr>
      <w:tr>
        <w:tc>
          <w:tcPr>
            <w:tcW w:type="dxa" w:w="1728"/>
          </w:tcPr>
          <w:p>
            <w:r/>
            <w:r>
              <w:t>…</w:t>
            </w:r>
          </w:p>
        </w:tc>
        <w:tc>
          <w:tcPr>
            <w:tcW w:type="dxa" w:w="1728"/>
          </w:tcPr>
          <w:p>
            <w:r/>
            <w:r>
              <w:t>…</w:t>
            </w:r>
          </w:p>
        </w:tc>
        <w:tc>
          <w:tcPr>
            <w:tcW w:type="dxa" w:w="1728"/>
          </w:tcPr>
          <w:p>
            <w:r/>
            <w:r>
              <w:t>…</w:t>
            </w:r>
          </w:p>
        </w:tc>
        <w:tc>
          <w:tcPr>
            <w:tcW w:type="dxa" w:w="1728"/>
          </w:tcPr>
          <w:p>
            <w:r/>
            <w:r>
              <w:t>`../Evidence/&lt;file&gt;`</w:t>
            </w:r>
          </w:p>
        </w:tc>
        <w:tc>
          <w:tcPr>
            <w:tcW w:type="dxa" w:w="1728"/>
          </w:tcPr>
          <w:p>
            <w:r/>
          </w:p>
        </w:tc>
      </w:tr>
    </w:tbl>
    <w:p/>
    <w:p>
      <w:pPr>
        <w:pStyle w:val="Heading2"/>
      </w:pPr>
      <w:r>
        <w:t>6. Consultation of the supervisory authority (Art. 36 GDPR)</w:t>
      </w:r>
    </w:p>
    <w:p>
      <w:r>
        <w:t>Required if residual risk remains "high" after mitigations. Record decision and date.</w:t>
      </w:r>
    </w:p>
    <w:p/>
    <w:p>
      <w:pPr>
        <w:pStyle w:val="Heading2"/>
      </w:pPr>
      <w:r>
        <w:t>7. Sign-off</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Role</w:t>
            </w:r>
          </w:p>
        </w:tc>
        <w:tc>
          <w:tcPr>
            <w:tcW w:type="dxa" w:w="2880"/>
          </w:tcPr>
          <w:p>
            <w:r>
              <w:rPr>
                <w:b/>
              </w:rPr>
            </w:r>
            <w:r>
              <w:rPr>
                <w:b/>
              </w:rPr>
              <w:t>Name</w:t>
            </w:r>
          </w:p>
        </w:tc>
        <w:tc>
          <w:tcPr>
            <w:tcW w:type="dxa" w:w="2880"/>
          </w:tcPr>
          <w:p>
            <w:r>
              <w:rPr>
                <w:b/>
              </w:rPr>
            </w:r>
            <w:r>
              <w:rPr>
                <w:b/>
              </w:rPr>
              <w:t>Date</w:t>
            </w:r>
          </w:p>
        </w:tc>
      </w:tr>
      <w:tr>
        <w:tc>
          <w:tcPr>
            <w:tcW w:type="dxa" w:w="2880"/>
          </w:tcPr>
          <w:p>
            <w:r/>
            <w:r>
              <w:t>Governor</w:t>
            </w:r>
          </w:p>
        </w:tc>
        <w:tc>
          <w:tcPr>
            <w:tcW w:type="dxa" w:w="2880"/>
          </w:tcPr>
          <w:p>
            <w:r/>
            <w:r>
              <w:t>Jonathan</w:t>
            </w:r>
          </w:p>
        </w:tc>
        <w:tc>
          <w:tcPr>
            <w:tcW w:type="dxa" w:w="2880"/>
          </w:tcPr>
          <w:p>
            <w:r/>
          </w:p>
        </w:tc>
      </w:tr>
      <w:tr>
        <w:tc>
          <w:tcPr>
            <w:tcW w:type="dxa" w:w="2880"/>
          </w:tcPr>
          <w:p>
            <w:r/>
            <w:r>
              <w:t>DPO (if any)</w:t>
            </w:r>
          </w:p>
        </w:tc>
        <w:tc>
          <w:tcPr>
            <w:tcW w:type="dxa" w:w="2880"/>
          </w:tcPr>
          <w:p>
            <w:r/>
          </w:p>
        </w:tc>
        <w:tc>
          <w:tcPr>
            <w:tcW w:type="dxa" w:w="2880"/>
          </w:tcPr>
          <w:p>
            <w:r/>
          </w:p>
        </w:tc>
      </w:tr>
      <w:tr>
        <w:tc>
          <w:tcPr>
            <w:tcW w:type="dxa" w:w="2880"/>
          </w:tcPr>
          <w:p>
            <w:r/>
            <w:r>
              <w:t>Reviewer</w:t>
            </w:r>
          </w:p>
        </w:tc>
        <w:tc>
          <w:tcPr>
            <w:tcW w:type="dxa" w:w="2880"/>
          </w:tcPr>
          <w:p>
            <w:r/>
          </w:p>
        </w:tc>
        <w:tc>
          <w:tcPr>
            <w:tcW w:type="dxa" w:w="2880"/>
          </w:tcPr>
          <w:p>
            <w:r/>
          </w:p>
        </w:tc>
      </w:tr>
    </w:tbl>
    <w:p/>
    <w:p>
      <w:pPr>
        <w:pStyle w:val="Heading2"/>
      </w:pPr>
      <w:r>
        <w:t>8. Review schedule</w:t>
      </w:r>
    </w:p>
    <w:p>
      <w:r>
        <w:t>Review at least every 12 months, or sooner on material change. Next review: YYYY-MM-DD.</w:t>
      </w:r>
    </w:p>
    <w:p>
      <w:r>
        <w:br w:type="page"/>
      </w:r>
    </w:p>
    <w:p>
      <w:pPr>
        <w:pStyle w:val="Heading1"/>
        <w:jc w:val="left"/>
      </w:pPr>
      <w:r>
        <w:t>04 International Transfers</w:t>
      </w:r>
    </w:p>
    <w:p>
      <w:pPr>
        <w:pStyle w:val="Heading2"/>
      </w:pPr>
      <w:r>
        <w:t>TIA Template</w:t>
      </w:r>
    </w:p>
    <w:p>
      <w:pPr>
        <w:pStyle w:val="Heading1"/>
      </w:pPr>
      <w:r>
        <w:t>Transfer Impact Assessment — &lt;recipient&gt;</w:t>
      </w:r>
    </w:p>
    <w:p/>
    <w:p>
      <w:r>
        <w:t>Structured per EDPB Recommendations 01/2020 on supplementary measures, updated for the EU-US Data Privacy Framework.</w:t>
      </w:r>
    </w:p>
    <w:p/>
    <w:p>
      <w:pPr>
        <w:pStyle w:val="Heading2"/>
      </w:pPr>
      <w:r>
        <w:t>Step 1 — Know your transfer</w:t>
      </w:r>
    </w:p>
    <w:p>
      <w:pPr>
        <w:pStyle w:val="ListBullet"/>
      </w:pPr>
      <w:r>
        <w:t>What data is transferred, to whom, where, for what purpose?</w:t>
      </w:r>
    </w:p>
    <w:p>
      <w:pPr>
        <w:pStyle w:val="ListBullet"/>
      </w:pPr>
      <w:r>
        <w:t>Onward transfers (sub-processors)?</w:t>
      </w:r>
    </w:p>
    <w:p/>
    <w:p>
      <w:pPr>
        <w:pStyle w:val="Heading2"/>
      </w:pPr>
      <w:r>
        <w:t>Step 2 — Identify the transfer tool</w:t>
      </w:r>
    </w:p>
    <w:p>
      <w:pPr>
        <w:pStyle w:val="ListBullet"/>
      </w:pPr>
      <w:r>
        <w:t>SCCs / DPF / adequacy decision / Article 49 derogation?</w:t>
      </w:r>
    </w:p>
    <w:p>
      <w:pPr>
        <w:pStyle w:val="ListBullet"/>
      </w:pPr>
      <w:r>
        <w:t>Date of signature and version.</w:t>
      </w:r>
    </w:p>
    <w:p/>
    <w:p>
      <w:pPr>
        <w:pStyle w:val="Heading2"/>
      </w:pPr>
      <w:r>
        <w:t>Step 3 — Assess the third country's law</w:t>
      </w:r>
    </w:p>
    <w:p>
      <w:pPr>
        <w:pStyle w:val="ListBullet"/>
      </w:pPr>
      <w:r>
        <w:t>Does the recipient country's law materially affect the SCC protections in this specific transfer? Cite primary surveillance laws (e.g. FISA 702, EO 12333 for the US).</w:t>
      </w:r>
    </w:p>
    <w:p>
      <w:pPr>
        <w:pStyle w:val="ListBullet"/>
      </w:pPr>
      <w:r>
        <w:t>Has the recipient certified to the EU-US DPF? If yes, for which categories of data?</w:t>
      </w:r>
    </w:p>
    <w:p/>
    <w:p>
      <w:pPr>
        <w:pStyle w:val="Heading2"/>
      </w:pPr>
      <w:r>
        <w:t>Step 4 — Supplementary measures</w:t>
      </w:r>
    </w:p>
    <w:p>
      <w:pPr>
        <w:pStyle w:val="ListBullet"/>
      </w:pPr>
      <w:r>
        <w:t>Encryption in transit and at rest?</w:t>
      </w:r>
    </w:p>
    <w:p>
      <w:pPr>
        <w:pStyle w:val="ListBullet"/>
      </w:pPr>
      <w:r>
        <w:t>Pseudonymisation?</w:t>
      </w:r>
    </w:p>
    <w:p>
      <w:pPr>
        <w:pStyle w:val="ListBullet"/>
      </w:pPr>
      <w:r>
        <w:t>Contractual commitments to challenge access requests?</w:t>
      </w:r>
    </w:p>
    <w:p>
      <w:pPr>
        <w:pStyle w:val="ListBullet"/>
      </w:pPr>
      <w:r>
        <w:t>Operational measures (data minimisation, retention limits)?</w:t>
      </w:r>
    </w:p>
    <w:p/>
    <w:p>
      <w:pPr>
        <w:pStyle w:val="Heading2"/>
      </w:pPr>
      <w:r>
        <w:t>Step 5 — Procedural steps</w:t>
      </w:r>
    </w:p>
    <w:p>
      <w:pPr>
        <w:pStyle w:val="ListBullet"/>
      </w:pPr>
      <w:r>
        <w:t>Notify the recipient and re-paper if conditions change.</w:t>
      </w:r>
    </w:p>
    <w:p>
      <w:pPr>
        <w:pStyle w:val="ListBullet"/>
      </w:pPr>
      <w:r>
        <w:t>Suspend transfers if supplementary measures are insufficient.</w:t>
      </w:r>
    </w:p>
    <w:p/>
    <w:p>
      <w:pPr>
        <w:pStyle w:val="Heading2"/>
      </w:pPr>
      <w:r>
        <w:t>Step 6 — Re-evaluation</w:t>
      </w:r>
    </w:p>
    <w:p>
      <w:r>
        <w:t>Review every 12 months and on every material legal development (e.g. CJEU rulings, recipient policy changes, DPF status changes).</w:t>
      </w:r>
    </w:p>
    <w:p/>
    <w:p>
      <w:pPr>
        <w:pStyle w:val="Heading2"/>
      </w:pPr>
      <w:r>
        <w:t>Sign-off</w:t>
      </w:r>
    </w:p>
    <w:p>
      <w:pPr>
        <w:pStyle w:val="ListBullet"/>
      </w:pPr>
      <w:r>
        <w:t>Governor: …</w:t>
      </w:r>
    </w:p>
    <w:p>
      <w:pPr>
        <w:pStyle w:val="ListBullet"/>
      </w:pPr>
      <w:r>
        <w:t>Date: …</w:t>
      </w:r>
    </w:p>
    <w:p>
      <w:pPr>
        <w:pStyle w:val="Heading2"/>
      </w:pPr>
      <w:r>
        <w:t>Transfer Register</w:t>
      </w:r>
    </w:p>
    <w:p>
      <w:pPr>
        <w:pStyle w:val="Heading1"/>
      </w:pPr>
      <w:r>
        <w:t>International Transfer Register</w:t>
      </w:r>
    </w:p>
    <w:p/>
    <w:p>
      <w:r>
        <w:t>Every transfer of personal data outside the EU/EEA. Required under GDPR Chapter V (Articles 44-49). Each row links to a Transfer Impact Assessment (TIA) where personal data is in scope.</w:t>
      </w:r>
    </w:p>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r>
              <w:rPr>
                <w:b/>
              </w:rPr>
              <w:t>#</w:t>
            </w:r>
          </w:p>
        </w:tc>
        <w:tc>
          <w:tcPr>
            <w:tcW w:type="dxa" w:w="1234"/>
          </w:tcPr>
          <w:p>
            <w:r>
              <w:rPr>
                <w:b/>
              </w:rPr>
            </w:r>
            <w:r>
              <w:rPr>
                <w:b/>
              </w:rPr>
              <w:t>Recipient</w:t>
            </w:r>
          </w:p>
        </w:tc>
        <w:tc>
          <w:tcPr>
            <w:tcW w:type="dxa" w:w="1234"/>
          </w:tcPr>
          <w:p>
            <w:r>
              <w:rPr>
                <w:b/>
              </w:rPr>
            </w:r>
            <w:r>
              <w:rPr>
                <w:b/>
              </w:rPr>
              <w:t>Country</w:t>
            </w:r>
          </w:p>
        </w:tc>
        <w:tc>
          <w:tcPr>
            <w:tcW w:type="dxa" w:w="1234"/>
          </w:tcPr>
          <w:p>
            <w:r>
              <w:rPr>
                <w:b/>
              </w:rPr>
            </w:r>
            <w:r>
              <w:rPr>
                <w:b/>
              </w:rPr>
              <w:t>Service</w:t>
            </w:r>
          </w:p>
        </w:tc>
        <w:tc>
          <w:tcPr>
            <w:tcW w:type="dxa" w:w="1234"/>
          </w:tcPr>
          <w:p>
            <w:r>
              <w:rPr>
                <w:b/>
              </w:rPr>
            </w:r>
            <w:r>
              <w:rPr>
                <w:b/>
              </w:rPr>
              <w:t>Personal data in scope?</w:t>
            </w:r>
          </w:p>
        </w:tc>
        <w:tc>
          <w:tcPr>
            <w:tcW w:type="dxa" w:w="1234"/>
          </w:tcPr>
          <w:p>
            <w:r>
              <w:rPr>
                <w:b/>
              </w:rPr>
            </w:r>
            <w:r>
              <w:rPr>
                <w:b/>
              </w:rPr>
              <w:t>Safeguard</w:t>
            </w:r>
          </w:p>
        </w:tc>
        <w:tc>
          <w:tcPr>
            <w:tcW w:type="dxa" w:w="1234"/>
          </w:tcPr>
          <w:p>
            <w:r>
              <w:rPr>
                <w:b/>
              </w:rPr>
            </w:r>
            <w:r>
              <w:rPr>
                <w:b/>
              </w:rPr>
              <w:t>TIA</w:t>
            </w:r>
          </w:p>
        </w:tc>
      </w:tr>
      <w:tr>
        <w:tc>
          <w:tcPr>
            <w:tcW w:type="dxa" w:w="1234"/>
          </w:tcPr>
          <w:p>
            <w:r/>
            <w:r>
              <w:t>1</w:t>
            </w:r>
          </w:p>
        </w:tc>
        <w:tc>
          <w:tcPr>
            <w:tcW w:type="dxa" w:w="1234"/>
          </w:tcPr>
          <w:p>
            <w:r/>
            <w:r>
              <w:t>Anthropic</w:t>
            </w:r>
          </w:p>
        </w:tc>
        <w:tc>
          <w:tcPr>
            <w:tcW w:type="dxa" w:w="1234"/>
          </w:tcPr>
          <w:p>
            <w:r/>
            <w:r>
              <w:t>US</w:t>
            </w:r>
          </w:p>
        </w:tc>
        <w:tc>
          <w:tcPr>
            <w:tcW w:type="dxa" w:w="1234"/>
          </w:tcPr>
          <w:p>
            <w:r/>
            <w:r>
              <w:t>Claude API — receives conversation text</w:t>
            </w:r>
          </w:p>
        </w:tc>
        <w:tc>
          <w:tcPr>
            <w:tcW w:type="dxa" w:w="1234"/>
          </w:tcPr>
          <w:p>
            <w:r/>
            <w:r>
              <w:t>Yes (Beverly's queries, may quote HR / candidate data)</w:t>
            </w:r>
          </w:p>
        </w:tc>
        <w:tc>
          <w:tcPr>
            <w:tcW w:type="dxa" w:w="1234"/>
          </w:tcPr>
          <w:p>
            <w:r/>
            <w:r>
              <w:t>[[Standard Contractual Clauses\</w:t>
            </w:r>
          </w:p>
        </w:tc>
        <w:tc>
          <w:tcPr>
            <w:tcW w:type="dxa" w:w="1234"/>
          </w:tcPr>
          <w:p>
            <w:r/>
            <w:r>
              <w:t>SCCs]] in Anthropic DPA + (if applicable) [[Data Processing Agreement\</w:t>
            </w:r>
          </w:p>
        </w:tc>
      </w:tr>
      <w:tr>
        <w:tc>
          <w:tcPr>
            <w:tcW w:type="dxa" w:w="1234"/>
          </w:tcPr>
          <w:p>
            <w:r/>
            <w:r>
              <w:t>2</w:t>
            </w:r>
          </w:p>
        </w:tc>
        <w:tc>
          <w:tcPr>
            <w:tcW w:type="dxa" w:w="1234"/>
          </w:tcPr>
          <w:p>
            <w:r/>
            <w:r>
              <w:t>Microsoft</w:t>
            </w:r>
          </w:p>
        </w:tc>
        <w:tc>
          <w:tcPr>
            <w:tcW w:type="dxa" w:w="1234"/>
          </w:tcPr>
          <w:p>
            <w:r/>
            <w:r>
              <w:t>US (with EU Data Boundary)</w:t>
            </w:r>
          </w:p>
        </w:tc>
        <w:tc>
          <w:tcPr>
            <w:tcW w:type="dxa" w:w="1234"/>
          </w:tcPr>
          <w:p>
            <w:r/>
            <w:r>
              <w:t>Microsoft Graph API</w:t>
            </w:r>
          </w:p>
        </w:tc>
        <w:tc>
          <w:tcPr>
            <w:tcW w:type="dxa" w:w="1234"/>
          </w:tcPr>
          <w:p>
            <w:r/>
            <w:r>
              <w:t>Yes (mail bodies, calendar, Teams)</w:t>
            </w:r>
          </w:p>
        </w:tc>
        <w:tc>
          <w:tcPr>
            <w:tcW w:type="dxa" w:w="1234"/>
          </w:tcPr>
          <w:p>
            <w:r/>
            <w:r>
              <w:t>EU Data Boundary commitment + SCCs</w:t>
            </w:r>
          </w:p>
        </w:tc>
        <w:tc>
          <w:tcPr>
            <w:tcW w:type="dxa" w:w="1234"/>
          </w:tcPr>
          <w:p>
            <w:r/>
            <w:r>
              <w:t>`TIA - Microsoft.md`</w:t>
            </w:r>
          </w:p>
        </w:tc>
      </w:tr>
      <w:tr>
        <w:tc>
          <w:tcPr>
            <w:tcW w:type="dxa" w:w="1234"/>
          </w:tcPr>
          <w:p>
            <w:r/>
            <w:r>
              <w:t>3</w:t>
            </w:r>
          </w:p>
        </w:tc>
        <w:tc>
          <w:tcPr>
            <w:tcW w:type="dxa" w:w="1234"/>
          </w:tcPr>
          <w:p>
            <w:r/>
            <w:r>
              <w:t>Railway</w:t>
            </w:r>
          </w:p>
        </w:tc>
        <w:tc>
          <w:tcPr>
            <w:tcW w:type="dxa" w:w="1234"/>
          </w:tcPr>
          <w:p>
            <w:r/>
            <w:r>
              <w:t>US</w:t>
            </w:r>
          </w:p>
        </w:tc>
        <w:tc>
          <w:tcPr>
            <w:tcW w:type="dxa" w:w="1234"/>
          </w:tcPr>
          <w:p>
            <w:r/>
            <w:r>
              <w:t>Hosting and logs</w:t>
            </w:r>
          </w:p>
        </w:tc>
        <w:tc>
          <w:tcPr>
            <w:tcW w:type="dxa" w:w="1234"/>
          </w:tcPr>
          <w:p>
            <w:r/>
            <w:r>
              <w:t>Yes (logs of conversations)</w:t>
            </w:r>
          </w:p>
        </w:tc>
        <w:tc>
          <w:tcPr>
            <w:tcW w:type="dxa" w:w="1234"/>
          </w:tcPr>
          <w:p>
            <w:r/>
            <w:r>
              <w:t>SCCs in Railway DPA</w:t>
            </w:r>
          </w:p>
        </w:tc>
        <w:tc>
          <w:tcPr>
            <w:tcW w:type="dxa" w:w="1234"/>
          </w:tcPr>
          <w:p>
            <w:r/>
            <w:r>
              <w:t>`TIA - Railway.md`</w:t>
            </w:r>
          </w:p>
        </w:tc>
      </w:tr>
      <w:tr>
        <w:tc>
          <w:tcPr>
            <w:tcW w:type="dxa" w:w="1234"/>
          </w:tcPr>
          <w:p>
            <w:r/>
            <w:r>
              <w:t>4</w:t>
            </w:r>
          </w:p>
        </w:tc>
        <w:tc>
          <w:tcPr>
            <w:tcW w:type="dxa" w:w="1234"/>
          </w:tcPr>
          <w:p>
            <w:r/>
            <w:r>
              <w:t>Firefish</w:t>
            </w:r>
          </w:p>
        </w:tc>
        <w:tc>
          <w:tcPr>
            <w:tcW w:type="dxa" w:w="1234"/>
          </w:tcPr>
          <w:p>
            <w:r/>
            <w:r>
              <w:t>UK</w:t>
            </w:r>
          </w:p>
        </w:tc>
        <w:tc>
          <w:tcPr>
            <w:tcW w:type="dxa" w:w="1234"/>
          </w:tcPr>
          <w:p>
            <w:r/>
            <w:r>
              <w:t>Recruitment CRM (read by Sam)</w:t>
            </w:r>
          </w:p>
        </w:tc>
        <w:tc>
          <w:tcPr>
            <w:tcW w:type="dxa" w:w="1234"/>
          </w:tcPr>
          <w:p>
            <w:r/>
            <w:r>
              <w:t>Yes (candidate data)</w:t>
            </w:r>
          </w:p>
        </w:tc>
        <w:tc>
          <w:tcPr>
            <w:tcW w:type="dxa" w:w="1234"/>
          </w:tcPr>
          <w:p>
            <w:r/>
            <w:r>
              <w:t>UK adequacy decision under Article 45</w:t>
            </w:r>
          </w:p>
        </w:tc>
        <w:tc>
          <w:tcPr>
            <w:tcW w:type="dxa" w:w="1234"/>
          </w:tcPr>
          <w:p>
            <w:r/>
            <w:r>
              <w:t>n/a (adequacy)</w:t>
            </w:r>
          </w:p>
        </w:tc>
      </w:tr>
      <w:tr>
        <w:tc>
          <w:tcPr>
            <w:tcW w:type="dxa" w:w="1234"/>
          </w:tcPr>
          <w:p>
            <w:r/>
            <w:r>
              <w:t>5</w:t>
            </w:r>
          </w:p>
        </w:tc>
        <w:tc>
          <w:tcPr>
            <w:tcW w:type="dxa" w:w="1234"/>
          </w:tcPr>
          <w:p>
            <w:r/>
            <w:r>
              <w:t>[[Telegram Bot API\</w:t>
            </w:r>
          </w:p>
        </w:tc>
        <w:tc>
          <w:tcPr>
            <w:tcW w:type="dxa" w:w="1234"/>
          </w:tcPr>
          <w:p>
            <w:r/>
            <w:r>
              <w:t>Telegram]]</w:t>
            </w:r>
          </w:p>
        </w:tc>
        <w:tc>
          <w:tcPr>
            <w:tcW w:type="dxa" w:w="1234"/>
          </w:tcPr>
          <w:p>
            <w:r/>
            <w:r>
              <w:t>UAE / global infrastructure</w:t>
            </w:r>
          </w:p>
        </w:tc>
        <w:tc>
          <w:tcPr>
            <w:tcW w:type="dxa" w:w="1234"/>
          </w:tcPr>
          <w:p>
            <w:r/>
            <w:r>
              <w:t>Messaging channel</w:t>
            </w:r>
          </w:p>
        </w:tc>
        <w:tc>
          <w:tcPr>
            <w:tcW w:type="dxa" w:w="1234"/>
          </w:tcPr>
          <w:p>
            <w:r/>
            <w:r>
              <w:t>Yes (message metadata, user IDs)</w:t>
            </w:r>
          </w:p>
        </w:tc>
        <w:tc>
          <w:tcPr>
            <w:tcW w:type="dxa" w:w="1234"/>
          </w:tcPr>
          <w:p>
            <w:r/>
            <w:r>
              <w:t>SCCs unclear — confirm</w:t>
            </w:r>
          </w:p>
        </w:tc>
      </w:tr>
      <w:tr>
        <w:tc>
          <w:tcPr>
            <w:tcW w:type="dxa" w:w="1234"/>
          </w:tcPr>
          <w:p>
            <w:r/>
            <w:r>
              <w:t>6</w:t>
            </w:r>
          </w:p>
        </w:tc>
        <w:tc>
          <w:tcPr>
            <w:tcW w:type="dxa" w:w="1234"/>
          </w:tcPr>
          <w:p>
            <w:r/>
            <w:r>
              <w:t>[[WhatsApp Cloud API\</w:t>
            </w:r>
          </w:p>
        </w:tc>
        <w:tc>
          <w:tcPr>
            <w:tcW w:type="dxa" w:w="1234"/>
          </w:tcPr>
          <w:p>
            <w:r/>
            <w:r>
              <w:t>Meta]]</w:t>
            </w:r>
          </w:p>
        </w:tc>
        <w:tc>
          <w:tcPr>
            <w:tcW w:type="dxa" w:w="1234"/>
          </w:tcPr>
          <w:p>
            <w:r/>
            <w:r>
              <w:t>US backend, EU front</w:t>
            </w:r>
          </w:p>
        </w:tc>
        <w:tc>
          <w:tcPr>
            <w:tcW w:type="dxa" w:w="1234"/>
          </w:tcPr>
          <w:p>
            <w:r/>
            <w:r>
              <w:t>Messaging channel</w:t>
            </w:r>
          </w:p>
        </w:tc>
        <w:tc>
          <w:tcPr>
            <w:tcW w:type="dxa" w:w="1234"/>
          </w:tcPr>
          <w:p>
            <w:r/>
            <w:r>
              <w:t>Yes (phone numbers, messages)</w:t>
            </w:r>
          </w:p>
        </w:tc>
        <w:tc>
          <w:tcPr>
            <w:tcW w:type="dxa" w:w="1234"/>
          </w:tcPr>
          <w:p>
            <w:r/>
            <w:r>
              <w:t>EU-US DPF + SCCs in Meta DPA</w:t>
            </w:r>
          </w:p>
        </w:tc>
      </w:tr>
    </w:tbl>
    <w:p/>
    <w:p>
      <w:pPr>
        <w:pStyle w:val="Heading2"/>
      </w:pPr>
      <w:r>
        <w:t>Action items</w:t>
      </w:r>
    </w:p>
    <w:p/>
    <w:p>
      <w:pPr>
        <w:pStyle w:val="ListBullet"/>
      </w:pPr>
      <w:r>
        <w:rPr>
          <w:b/>
        </w:rPr>
        <w:t xml:space="preserve">[ ] </w:t>
      </w:r>
      <w:r>
        <w:t xml:space="preserve">Governor confirms each recipient's </w:t>
      </w:r>
      <w:r>
        <w:rPr>
          <w:b/>
        </w:rPr>
        <w:t>current</w:t>
      </w:r>
      <w:r>
        <w:t xml:space="preserve"> safeguard mechanism (DPF certifications change — re-check on the [Data Privacy Framework list](https://www.dataprivacyframework.gov/list)).</w:t>
      </w:r>
    </w:p>
    <w:p>
      <w:pPr>
        <w:pStyle w:val="ListBullet"/>
      </w:pPr>
      <w:r>
        <w:rPr>
          <w:b/>
        </w:rPr>
        <w:t xml:space="preserve">[ ] </w:t>
      </w:r>
      <w:r>
        <w:t>Signed DPA from each recipient stored in `../Evidence/`.</w:t>
      </w:r>
    </w:p>
    <w:p>
      <w:pPr>
        <w:pStyle w:val="ListBullet"/>
      </w:pPr>
      <w:r>
        <w:rPr>
          <w:b/>
        </w:rPr>
        <w:t xml:space="preserve">[ ] </w:t>
      </w:r>
      <w:r>
        <w:t>Complete one TIA per non-adequate recipient.</w:t>
      </w:r>
    </w:p>
    <w:p>
      <w:r>
        <w:br w:type="page"/>
      </w:r>
    </w:p>
    <w:p>
      <w:pPr>
        <w:pStyle w:val="Heading1"/>
        <w:jc w:val="left"/>
      </w:pPr>
      <w:r>
        <w:t>05 Processors and DPAs</w:t>
      </w:r>
    </w:p>
    <w:p>
      <w:pPr>
        <w:pStyle w:val="Heading2"/>
      </w:pPr>
      <w:r>
        <w:t>Register</w:t>
      </w:r>
    </w:p>
    <w:p>
      <w:pPr>
        <w:pStyle w:val="Heading1"/>
      </w:pPr>
      <w:r>
        <w:t>Processor Register — DPA Status</w:t>
      </w:r>
    </w:p>
    <w:p/>
    <w:p>
      <w:r>
        <w:t xml:space="preserve">Every third party that processes personal data </w:t>
      </w:r>
      <w:r>
        <w:rPr>
          <w:b/>
        </w:rPr>
        <w:t>on TRC's behalf</w:t>
      </w:r>
      <w:r>
        <w:t xml:space="preserve"> must be governed by a written contract under Article 28 GDPR. The contract is commonly called a DPA.</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r>
              <w:rPr>
                <w:b/>
              </w:rPr>
              <w:t>#</w:t>
            </w:r>
          </w:p>
        </w:tc>
        <w:tc>
          <w:tcPr>
            <w:tcW w:type="dxa" w:w="1080"/>
          </w:tcPr>
          <w:p>
            <w:r>
              <w:rPr>
                <w:b/>
              </w:rPr>
            </w:r>
            <w:r>
              <w:rPr>
                <w:b/>
              </w:rPr>
              <w:t>Processor</w:t>
            </w:r>
          </w:p>
        </w:tc>
        <w:tc>
          <w:tcPr>
            <w:tcW w:type="dxa" w:w="1080"/>
          </w:tcPr>
          <w:p>
            <w:r>
              <w:rPr>
                <w:b/>
              </w:rPr>
            </w:r>
            <w:r>
              <w:rPr>
                <w:b/>
              </w:rPr>
              <w:t>Service</w:t>
            </w:r>
          </w:p>
        </w:tc>
        <w:tc>
          <w:tcPr>
            <w:tcW w:type="dxa" w:w="1080"/>
          </w:tcPr>
          <w:p>
            <w:r>
              <w:rPr>
                <w:b/>
              </w:rPr>
            </w:r>
            <w:r>
              <w:rPr>
                <w:b/>
              </w:rPr>
              <w:t>Acts as</w:t>
            </w:r>
          </w:p>
        </w:tc>
        <w:tc>
          <w:tcPr>
            <w:tcW w:type="dxa" w:w="1080"/>
          </w:tcPr>
          <w:p>
            <w:r>
              <w:rPr>
                <w:b/>
              </w:rPr>
            </w:r>
            <w:r>
              <w:rPr>
                <w:b/>
              </w:rPr>
              <w:t>DPA in place</w:t>
            </w:r>
          </w:p>
        </w:tc>
        <w:tc>
          <w:tcPr>
            <w:tcW w:type="dxa" w:w="1080"/>
          </w:tcPr>
          <w:p>
            <w:r>
              <w:rPr>
                <w:b/>
              </w:rPr>
            </w:r>
            <w:r>
              <w:rPr>
                <w:b/>
              </w:rPr>
              <w:t>DPA version / link</w:t>
            </w:r>
          </w:p>
        </w:tc>
        <w:tc>
          <w:tcPr>
            <w:tcW w:type="dxa" w:w="1080"/>
          </w:tcPr>
          <w:p>
            <w:r>
              <w:rPr>
                <w:b/>
              </w:rPr>
            </w:r>
            <w:r>
              <w:rPr>
                <w:b/>
              </w:rPr>
              <w:t>Sub-processors transparent?</w:t>
            </w:r>
          </w:p>
        </w:tc>
        <w:tc>
          <w:tcPr>
            <w:tcW w:type="dxa" w:w="1080"/>
          </w:tcPr>
          <w:p>
            <w:r>
              <w:rPr>
                <w:b/>
              </w:rPr>
            </w:r>
            <w:r>
              <w:rPr>
                <w:b/>
              </w:rPr>
              <w:t>International transfer?</w:t>
            </w:r>
          </w:p>
        </w:tc>
      </w:tr>
      <w:tr>
        <w:tc>
          <w:tcPr>
            <w:tcW w:type="dxa" w:w="1080"/>
          </w:tcPr>
          <w:p>
            <w:r/>
            <w:r>
              <w:t>1</w:t>
            </w:r>
          </w:p>
        </w:tc>
        <w:tc>
          <w:tcPr>
            <w:tcW w:type="dxa" w:w="1080"/>
          </w:tcPr>
          <w:p>
            <w:r/>
            <w:r>
              <w:t>Anthropic</w:t>
            </w:r>
          </w:p>
        </w:tc>
        <w:tc>
          <w:tcPr>
            <w:tcW w:type="dxa" w:w="1080"/>
          </w:tcPr>
          <w:p>
            <w:r/>
            <w:r>
              <w:t>Claude API</w:t>
            </w:r>
          </w:p>
        </w:tc>
        <w:tc>
          <w:tcPr>
            <w:tcW w:type="dxa" w:w="1080"/>
          </w:tcPr>
          <w:p>
            <w:r/>
            <w:r>
              <w:t>Processor</w:t>
            </w:r>
          </w:p>
        </w:tc>
        <w:tc>
          <w:tcPr>
            <w:tcW w:type="dxa" w:w="1080"/>
          </w:tcPr>
          <w:p>
            <w:r/>
            <w:r>
              <w:rPr>
                <w:b/>
              </w:rPr>
              <w:t>CONFIRM</w:t>
            </w:r>
            <w:r>
              <w:t xml:space="preserve"> — Anthropic Commercial Terms include a DPA on request</w:t>
            </w:r>
          </w:p>
        </w:tc>
        <w:tc>
          <w:tcPr>
            <w:tcW w:type="dxa" w:w="1080"/>
          </w:tcPr>
          <w:p>
            <w:r/>
            <w:r>
              <w:t>`../Evidence/Anthropic-DPA-&lt;date&gt;.pdf`</w:t>
            </w:r>
          </w:p>
        </w:tc>
        <w:tc>
          <w:tcPr>
            <w:tcW w:type="dxa" w:w="1080"/>
          </w:tcPr>
          <w:p>
            <w:r/>
            <w:r>
              <w:t>Listed in [Anthropic sub-processor page](https://www.anthropic.com/legal/subprocessors)</w:t>
            </w:r>
          </w:p>
        </w:tc>
        <w:tc>
          <w:tcPr>
            <w:tcW w:type="dxa" w:w="1080"/>
          </w:tcPr>
          <w:p>
            <w:r/>
            <w:r>
              <w:t>Yes — US ([[Standard Contractual Clauses\</w:t>
            </w:r>
          </w:p>
        </w:tc>
      </w:tr>
      <w:tr>
        <w:tc>
          <w:tcPr>
            <w:tcW w:type="dxa" w:w="1080"/>
          </w:tcPr>
          <w:p>
            <w:r/>
            <w:r>
              <w:t>2</w:t>
            </w:r>
          </w:p>
        </w:tc>
        <w:tc>
          <w:tcPr>
            <w:tcW w:type="dxa" w:w="1080"/>
          </w:tcPr>
          <w:p>
            <w:r/>
            <w:r>
              <w:t>Microsoft</w:t>
            </w:r>
          </w:p>
        </w:tc>
        <w:tc>
          <w:tcPr>
            <w:tcW w:type="dxa" w:w="1080"/>
          </w:tcPr>
          <w:p>
            <w:r/>
            <w:r>
              <w:t>Microsoft Graph</w:t>
            </w:r>
          </w:p>
        </w:tc>
        <w:tc>
          <w:tcPr>
            <w:tcW w:type="dxa" w:w="1080"/>
          </w:tcPr>
          <w:p>
            <w:r/>
            <w:r>
              <w:t>Processor</w:t>
            </w:r>
          </w:p>
        </w:tc>
        <w:tc>
          <w:tcPr>
            <w:tcW w:type="dxa" w:w="1080"/>
          </w:tcPr>
          <w:p>
            <w:r/>
            <w:r>
              <w:rPr>
                <w:b/>
              </w:rPr>
              <w:t>CONFIRM</w:t>
            </w:r>
            <w:r>
              <w:t xml:space="preserve"> — Microsoft Online Services DPA (Product Terms)</w:t>
            </w:r>
          </w:p>
        </w:tc>
        <w:tc>
          <w:tcPr>
            <w:tcW w:type="dxa" w:w="1080"/>
          </w:tcPr>
          <w:p>
            <w:r/>
            <w:r>
              <w:t>`../Evidence/Microsoft-DPA-&lt;date&gt;.pdf`</w:t>
            </w:r>
          </w:p>
        </w:tc>
        <w:tc>
          <w:tcPr>
            <w:tcW w:type="dxa" w:w="1080"/>
          </w:tcPr>
          <w:p>
            <w:r/>
            <w:r>
              <w:t>Yes (Microsoft sub-processor list)</w:t>
            </w:r>
          </w:p>
        </w:tc>
        <w:tc>
          <w:tcPr>
            <w:tcW w:type="dxa" w:w="1080"/>
          </w:tcPr>
          <w:p>
            <w:r/>
            <w:r>
              <w:t>Yes — primary EU residency, US backend (DPF + SCCs)</w:t>
            </w:r>
          </w:p>
        </w:tc>
      </w:tr>
      <w:tr>
        <w:tc>
          <w:tcPr>
            <w:tcW w:type="dxa" w:w="1080"/>
          </w:tcPr>
          <w:p>
            <w:r/>
            <w:r>
              <w:t>3</w:t>
            </w:r>
          </w:p>
        </w:tc>
        <w:tc>
          <w:tcPr>
            <w:tcW w:type="dxa" w:w="1080"/>
          </w:tcPr>
          <w:p>
            <w:r/>
            <w:r>
              <w:t>Railway</w:t>
            </w:r>
          </w:p>
        </w:tc>
        <w:tc>
          <w:tcPr>
            <w:tcW w:type="dxa" w:w="1080"/>
          </w:tcPr>
          <w:p>
            <w:r/>
            <w:r>
              <w:t>Hosting and logs</w:t>
            </w:r>
          </w:p>
        </w:tc>
        <w:tc>
          <w:tcPr>
            <w:tcW w:type="dxa" w:w="1080"/>
          </w:tcPr>
          <w:p>
            <w:r/>
            <w:r>
              <w:t>Processor</w:t>
            </w:r>
          </w:p>
        </w:tc>
        <w:tc>
          <w:tcPr>
            <w:tcW w:type="dxa" w:w="1080"/>
          </w:tcPr>
          <w:p>
            <w:r/>
            <w:r>
              <w:rPr>
                <w:b/>
              </w:rPr>
              <w:t>CONFIRM</w:t>
            </w:r>
          </w:p>
        </w:tc>
        <w:tc>
          <w:tcPr>
            <w:tcW w:type="dxa" w:w="1080"/>
          </w:tcPr>
          <w:p>
            <w:r/>
            <w:r>
              <w:t>`../Evidence/Railway-DPA-&lt;date&gt;.pdf`</w:t>
            </w:r>
          </w:p>
        </w:tc>
        <w:tc>
          <w:tcPr>
            <w:tcW w:type="dxa" w:w="1080"/>
          </w:tcPr>
          <w:p>
            <w:r/>
            <w:r>
              <w:t>Confirm</w:t>
            </w:r>
          </w:p>
        </w:tc>
        <w:tc>
          <w:tcPr>
            <w:tcW w:type="dxa" w:w="1080"/>
          </w:tcPr>
          <w:p>
            <w:r/>
            <w:r>
              <w:t>Yes — US</w:t>
            </w:r>
          </w:p>
        </w:tc>
      </w:tr>
      <w:tr>
        <w:tc>
          <w:tcPr>
            <w:tcW w:type="dxa" w:w="1080"/>
          </w:tcPr>
          <w:p>
            <w:r/>
            <w:r>
              <w:t>4</w:t>
            </w:r>
          </w:p>
        </w:tc>
        <w:tc>
          <w:tcPr>
            <w:tcW w:type="dxa" w:w="1080"/>
          </w:tcPr>
          <w:p>
            <w:r/>
            <w:r>
              <w:t>Firefish</w:t>
            </w:r>
          </w:p>
        </w:tc>
        <w:tc>
          <w:tcPr>
            <w:tcW w:type="dxa" w:w="1080"/>
          </w:tcPr>
          <w:p>
            <w:r/>
            <w:r>
              <w:t>Recruitment CRM</w:t>
            </w:r>
          </w:p>
        </w:tc>
        <w:tc>
          <w:tcPr>
            <w:tcW w:type="dxa" w:w="1080"/>
          </w:tcPr>
          <w:p>
            <w:r/>
            <w:r>
              <w:rPr>
                <w:b/>
              </w:rPr>
              <w:t>Likely controller</w:t>
            </w:r>
            <w:r>
              <w:t xml:space="preserve"> of source records; TRC is processor of the read-out, </w:t>
            </w:r>
            <w:r>
              <w:rPr>
                <w:b/>
              </w:rPr>
              <w:t>or</w:t>
            </w:r>
            <w:r>
              <w:t xml:space="preserve"> Firefish is processor on TRC's behalf — depends on contract. </w:t>
            </w:r>
            <w:r>
              <w:rPr>
                <w:b/>
              </w:rPr>
              <w:t>Clarify.</w:t>
            </w:r>
          </w:p>
        </w:tc>
        <w:tc>
          <w:tcPr>
            <w:tcW w:type="dxa" w:w="1080"/>
          </w:tcPr>
          <w:p>
            <w:r/>
            <w:r>
              <w:t>Pending</w:t>
            </w:r>
          </w:p>
        </w:tc>
        <w:tc>
          <w:tcPr>
            <w:tcW w:type="dxa" w:w="1080"/>
          </w:tcPr>
          <w:p>
            <w:r/>
          </w:p>
        </w:tc>
        <w:tc>
          <w:tcPr>
            <w:tcW w:type="dxa" w:w="1080"/>
          </w:tcPr>
          <w:p>
            <w:r/>
          </w:p>
        </w:tc>
        <w:tc>
          <w:tcPr>
            <w:tcW w:type="dxa" w:w="1080"/>
          </w:tcPr>
          <w:p>
            <w:r/>
            <w:r>
              <w:t>UK adequacy</w:t>
            </w:r>
          </w:p>
        </w:tc>
      </w:tr>
      <w:tr>
        <w:tc>
          <w:tcPr>
            <w:tcW w:type="dxa" w:w="1080"/>
          </w:tcPr>
          <w:p>
            <w:r/>
            <w:r>
              <w:t>5</w:t>
            </w:r>
          </w:p>
        </w:tc>
        <w:tc>
          <w:tcPr>
            <w:tcW w:type="dxa" w:w="1080"/>
          </w:tcPr>
          <w:p>
            <w:r/>
            <w:r>
              <w:t>Odoo (Think Talent self-hosted)</w:t>
            </w:r>
          </w:p>
        </w:tc>
        <w:tc>
          <w:tcPr>
            <w:tcW w:type="dxa" w:w="1080"/>
          </w:tcPr>
          <w:p>
            <w:r/>
            <w:r>
              <w:t>CRM / HR / accounting</w:t>
            </w:r>
          </w:p>
        </w:tc>
        <w:tc>
          <w:tcPr>
            <w:tcW w:type="dxa" w:w="1080"/>
          </w:tcPr>
          <w:p>
            <w:r/>
            <w:r>
              <w:t>Controller (Think Talent) — TRC reads via API</w:t>
            </w:r>
          </w:p>
        </w:tc>
        <w:tc>
          <w:tcPr>
            <w:tcW w:type="dxa" w:w="1080"/>
          </w:tcPr>
          <w:p>
            <w:r/>
            <w:r>
              <w:t>n/a (intra-group; document data-sharing basis)</w:t>
            </w:r>
          </w:p>
        </w:tc>
        <w:tc>
          <w:tcPr>
            <w:tcW w:type="dxa" w:w="1080"/>
          </w:tcPr>
          <w:p>
            <w:r/>
          </w:p>
        </w:tc>
        <w:tc>
          <w:tcPr>
            <w:tcW w:type="dxa" w:w="1080"/>
          </w:tcPr>
          <w:p>
            <w:r/>
          </w:p>
        </w:tc>
        <w:tc>
          <w:tcPr>
            <w:tcW w:type="dxa" w:w="1080"/>
          </w:tcPr>
          <w:p>
            <w:r/>
            <w:r>
              <w:t>Within EU</w:t>
            </w:r>
          </w:p>
        </w:tc>
      </w:tr>
      <w:tr>
        <w:tc>
          <w:tcPr>
            <w:tcW w:type="dxa" w:w="1080"/>
          </w:tcPr>
          <w:p>
            <w:r/>
            <w:r>
              <w:t>6</w:t>
            </w:r>
          </w:p>
        </w:tc>
        <w:tc>
          <w:tcPr>
            <w:tcW w:type="dxa" w:w="1080"/>
          </w:tcPr>
          <w:p>
            <w:r/>
            <w:r>
              <w:t>[[Telegram Bot API\</w:t>
            </w:r>
          </w:p>
        </w:tc>
        <w:tc>
          <w:tcPr>
            <w:tcW w:type="dxa" w:w="1080"/>
          </w:tcPr>
          <w:p>
            <w:r/>
            <w:r>
              <w:t>Telegram]]</w:t>
            </w:r>
          </w:p>
        </w:tc>
        <w:tc>
          <w:tcPr>
            <w:tcW w:type="dxa" w:w="1080"/>
          </w:tcPr>
          <w:p>
            <w:r/>
            <w:r>
              <w:t>Messaging channel</w:t>
            </w:r>
          </w:p>
        </w:tc>
        <w:tc>
          <w:tcPr>
            <w:tcW w:type="dxa" w:w="1080"/>
          </w:tcPr>
          <w:p>
            <w:r/>
            <w:r>
              <w:t>Likely controller of the communications metadata, processor of message content for delivery</w:t>
            </w:r>
          </w:p>
        </w:tc>
        <w:tc>
          <w:tcPr>
            <w:tcW w:type="dxa" w:w="1080"/>
          </w:tcPr>
          <w:p>
            <w:r/>
            <w:r>
              <w:rPr>
                <w:b/>
              </w:rPr>
              <w:t>No standard DPA available</w:t>
            </w:r>
            <w:r>
              <w:t xml:space="preserve"> — note as risk in Open Questions</w:t>
            </w:r>
          </w:p>
        </w:tc>
        <w:tc>
          <w:tcPr>
            <w:tcW w:type="dxa" w:w="1080"/>
          </w:tcPr>
          <w:p>
            <w:r/>
          </w:p>
        </w:tc>
        <w:tc>
          <w:tcPr>
            <w:tcW w:type="dxa" w:w="1080"/>
          </w:tcPr>
          <w:p>
            <w:r/>
          </w:p>
        </w:tc>
      </w:tr>
      <w:tr>
        <w:tc>
          <w:tcPr>
            <w:tcW w:type="dxa" w:w="1080"/>
          </w:tcPr>
          <w:p>
            <w:r/>
            <w:r>
              <w:t>7</w:t>
            </w:r>
          </w:p>
        </w:tc>
        <w:tc>
          <w:tcPr>
            <w:tcW w:type="dxa" w:w="1080"/>
          </w:tcPr>
          <w:p>
            <w:r/>
            <w:r>
              <w:t>[[WhatsApp Cloud API\</w:t>
            </w:r>
          </w:p>
        </w:tc>
        <w:tc>
          <w:tcPr>
            <w:tcW w:type="dxa" w:w="1080"/>
          </w:tcPr>
          <w:p>
            <w:r/>
            <w:r>
              <w:t>Meta WhatsApp]]</w:t>
            </w:r>
          </w:p>
        </w:tc>
        <w:tc>
          <w:tcPr>
            <w:tcW w:type="dxa" w:w="1080"/>
          </w:tcPr>
          <w:p>
            <w:r/>
            <w:r>
              <w:t>Messaging channel</w:t>
            </w:r>
          </w:p>
        </w:tc>
        <w:tc>
          <w:tcPr>
            <w:tcW w:type="dxa" w:w="1080"/>
          </w:tcPr>
          <w:p>
            <w:r/>
            <w:r>
              <w:t>Processor under Meta's WhatsApp Business DPA</w:t>
            </w:r>
          </w:p>
        </w:tc>
        <w:tc>
          <w:tcPr>
            <w:tcW w:type="dxa" w:w="1080"/>
          </w:tcPr>
          <w:p>
            <w:r/>
            <w:r>
              <w:rPr>
                <w:b/>
              </w:rPr>
              <w:t>CONFIRM</w:t>
            </w:r>
          </w:p>
        </w:tc>
        <w:tc>
          <w:tcPr>
            <w:tcW w:type="dxa" w:w="1080"/>
          </w:tcPr>
          <w:p>
            <w:r/>
            <w:r>
              <w:t>`../Evidence/Meta-DPA-&lt;date&gt;.pdf`</w:t>
            </w:r>
          </w:p>
        </w:tc>
        <w:tc>
          <w:tcPr>
            <w:tcW w:type="dxa" w:w="1080"/>
          </w:tcPr>
          <w:p>
            <w:r/>
            <w:r>
              <w:t>Yes</w:t>
            </w:r>
          </w:p>
        </w:tc>
      </w:tr>
    </w:tbl>
    <w:p/>
    <w:p>
      <w:pPr>
        <w:pStyle w:val="Heading2"/>
      </w:pPr>
      <w:r>
        <w:t>Action items</w:t>
      </w:r>
    </w:p>
    <w:p/>
    <w:p>
      <w:pPr>
        <w:pStyle w:val="ListBullet"/>
      </w:pPr>
      <w:r>
        <w:rPr>
          <w:b/>
        </w:rPr>
        <w:t xml:space="preserve">[ ] </w:t>
      </w:r>
      <w:r>
        <w:t>Governor confirms a signed DPA exists for each processor and drops the PDF into `../Evidence/`.</w:t>
      </w:r>
    </w:p>
    <w:p>
      <w:pPr>
        <w:pStyle w:val="ListBullet"/>
      </w:pPr>
      <w:r>
        <w:rPr>
          <w:b/>
        </w:rPr>
        <w:t xml:space="preserve">[ ] </w:t>
      </w:r>
      <w:r>
        <w:t>Clarify Firefish controller/processor split in writing.</w:t>
      </w:r>
    </w:p>
    <w:p>
      <w:pPr>
        <w:pStyle w:val="ListBullet"/>
      </w:pPr>
      <w:r>
        <w:rPr>
          <w:b/>
        </w:rPr>
        <w:t xml:space="preserve">[ ] </w:t>
      </w:r>
      <w:r>
        <w:t>Document the Telegram gap and the residual-risk decision (continue use vs alternative).</w:t>
      </w:r>
    </w:p>
    <w:p>
      <w:pPr>
        <w:pStyle w:val="ListBullet"/>
      </w:pPr>
      <w:r>
        <w:rPr>
          <w:b/>
        </w:rPr>
        <w:t xml:space="preserve">[ ] </w:t>
      </w:r>
      <w:r>
        <w:t>Set a 12-month review reminder for every DPA.</w:t>
      </w:r>
    </w:p>
    <w:p>
      <w:r>
        <w:br w:type="page"/>
      </w:r>
    </w:p>
    <w:p>
      <w:pPr>
        <w:pStyle w:val="Heading1"/>
        <w:jc w:val="left"/>
      </w:pPr>
      <w:r>
        <w:t>06 Data Subject Rights</w:t>
      </w:r>
    </w:p>
    <w:p>
      <w:pPr>
        <w:pStyle w:val="Heading2"/>
      </w:pPr>
      <w:r>
        <w:t>Procedure</w:t>
      </w:r>
    </w:p>
    <w:p>
      <w:pPr>
        <w:pStyle w:val="Heading1"/>
      </w:pPr>
      <w:r>
        <w:t>Data Subject Rights Procedure</w:t>
      </w:r>
    </w:p>
    <w:p/>
    <w:p>
      <w:r>
        <w:t xml:space="preserve">A data subject ("the requester") can ask TRC to exercise the rights below. TRC must respond </w:t>
      </w:r>
      <w:r>
        <w:rPr>
          <w:b/>
        </w:rPr>
        <w:t>within one month</w:t>
      </w:r>
      <w:r>
        <w:t xml:space="preserve"> (extendable by two further months for complex requests, with notification).</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Right</w:t>
            </w:r>
          </w:p>
        </w:tc>
        <w:tc>
          <w:tcPr>
            <w:tcW w:type="dxa" w:w="2880"/>
          </w:tcPr>
          <w:p>
            <w:r>
              <w:rPr>
                <w:b/>
              </w:rPr>
            </w:r>
            <w:r>
              <w:rPr>
                <w:b/>
              </w:rPr>
              <w:t>Article</w:t>
            </w:r>
          </w:p>
        </w:tc>
        <w:tc>
          <w:tcPr>
            <w:tcW w:type="dxa" w:w="2880"/>
          </w:tcPr>
          <w:p>
            <w:r>
              <w:rPr>
                <w:b/>
              </w:rPr>
            </w:r>
            <w:r>
              <w:rPr>
                <w:b/>
              </w:rPr>
              <w:t>Plain English</w:t>
            </w:r>
          </w:p>
        </w:tc>
      </w:tr>
      <w:tr>
        <w:tc>
          <w:tcPr>
            <w:tcW w:type="dxa" w:w="2880"/>
          </w:tcPr>
          <w:p>
            <w:r/>
            <w:r>
              <w:t>Information</w:t>
            </w:r>
          </w:p>
        </w:tc>
        <w:tc>
          <w:tcPr>
            <w:tcW w:type="dxa" w:w="2880"/>
          </w:tcPr>
          <w:p>
            <w:r/>
            <w:r>
              <w:t>13-14</w:t>
            </w:r>
          </w:p>
        </w:tc>
        <w:tc>
          <w:tcPr>
            <w:tcW w:type="dxa" w:w="2880"/>
          </w:tcPr>
          <w:p>
            <w:r/>
            <w:r>
              <w:t>Tell people what TRC does with their data. Met by the privacy notice in `../09 Notices/`.</w:t>
            </w:r>
          </w:p>
        </w:tc>
      </w:tr>
      <w:tr>
        <w:tc>
          <w:tcPr>
            <w:tcW w:type="dxa" w:w="2880"/>
          </w:tcPr>
          <w:p>
            <w:r/>
            <w:r>
              <w:t>Access</w:t>
            </w:r>
          </w:p>
        </w:tc>
        <w:tc>
          <w:tcPr>
            <w:tcW w:type="dxa" w:w="2880"/>
          </w:tcPr>
          <w:p>
            <w:r/>
            <w:r>
              <w:t>15</w:t>
            </w:r>
          </w:p>
        </w:tc>
        <w:tc>
          <w:tcPr>
            <w:tcW w:type="dxa" w:w="2880"/>
          </w:tcPr>
          <w:p>
            <w:r/>
            <w:r>
              <w:t>Provide a copy of the personal data TRC holds.</w:t>
            </w:r>
          </w:p>
        </w:tc>
      </w:tr>
      <w:tr>
        <w:tc>
          <w:tcPr>
            <w:tcW w:type="dxa" w:w="2880"/>
          </w:tcPr>
          <w:p>
            <w:r/>
            <w:r>
              <w:t>Rectification</w:t>
            </w:r>
          </w:p>
        </w:tc>
        <w:tc>
          <w:tcPr>
            <w:tcW w:type="dxa" w:w="2880"/>
          </w:tcPr>
          <w:p>
            <w:r/>
            <w:r>
              <w:t>16</w:t>
            </w:r>
          </w:p>
        </w:tc>
        <w:tc>
          <w:tcPr>
            <w:tcW w:type="dxa" w:w="2880"/>
          </w:tcPr>
          <w:p>
            <w:r/>
            <w:r>
              <w:t>Correct inaccurate data.</w:t>
            </w:r>
          </w:p>
        </w:tc>
      </w:tr>
      <w:tr>
        <w:tc>
          <w:tcPr>
            <w:tcW w:type="dxa" w:w="2880"/>
          </w:tcPr>
          <w:p>
            <w:r/>
            <w:r>
              <w:t>Erasure</w:t>
            </w:r>
          </w:p>
        </w:tc>
        <w:tc>
          <w:tcPr>
            <w:tcW w:type="dxa" w:w="2880"/>
          </w:tcPr>
          <w:p>
            <w:r/>
            <w:r>
              <w:t>17</w:t>
            </w:r>
          </w:p>
        </w:tc>
        <w:tc>
          <w:tcPr>
            <w:tcW w:type="dxa" w:w="2880"/>
          </w:tcPr>
          <w:p>
            <w:r/>
            <w:r>
              <w:t>Delete data ("right to be forgotten") on limited grounds.</w:t>
            </w:r>
          </w:p>
        </w:tc>
      </w:tr>
      <w:tr>
        <w:tc>
          <w:tcPr>
            <w:tcW w:type="dxa" w:w="2880"/>
          </w:tcPr>
          <w:p>
            <w:r/>
            <w:r>
              <w:t>Restriction</w:t>
            </w:r>
          </w:p>
        </w:tc>
        <w:tc>
          <w:tcPr>
            <w:tcW w:type="dxa" w:w="2880"/>
          </w:tcPr>
          <w:p>
            <w:r/>
            <w:r>
              <w:t>18</w:t>
            </w:r>
          </w:p>
        </w:tc>
        <w:tc>
          <w:tcPr>
            <w:tcW w:type="dxa" w:w="2880"/>
          </w:tcPr>
          <w:p>
            <w:r/>
            <w:r>
              <w:t>Stop processing while a dispute is resolved.</w:t>
            </w:r>
          </w:p>
        </w:tc>
      </w:tr>
      <w:tr>
        <w:tc>
          <w:tcPr>
            <w:tcW w:type="dxa" w:w="2880"/>
          </w:tcPr>
          <w:p>
            <w:r/>
            <w:r>
              <w:t>Portability</w:t>
            </w:r>
          </w:p>
        </w:tc>
        <w:tc>
          <w:tcPr>
            <w:tcW w:type="dxa" w:w="2880"/>
          </w:tcPr>
          <w:p>
            <w:r/>
            <w:r>
              <w:t>20</w:t>
            </w:r>
          </w:p>
        </w:tc>
        <w:tc>
          <w:tcPr>
            <w:tcW w:type="dxa" w:w="2880"/>
          </w:tcPr>
          <w:p>
            <w:r/>
            <w:r>
              <w:t>Provide data in a structured machine-readable format.</w:t>
            </w:r>
          </w:p>
        </w:tc>
      </w:tr>
      <w:tr>
        <w:tc>
          <w:tcPr>
            <w:tcW w:type="dxa" w:w="2880"/>
          </w:tcPr>
          <w:p>
            <w:r/>
            <w:r>
              <w:t>Object</w:t>
            </w:r>
          </w:p>
        </w:tc>
        <w:tc>
          <w:tcPr>
            <w:tcW w:type="dxa" w:w="2880"/>
          </w:tcPr>
          <w:p>
            <w:r/>
            <w:r>
              <w:t>21</w:t>
            </w:r>
          </w:p>
        </w:tc>
        <w:tc>
          <w:tcPr>
            <w:tcW w:type="dxa" w:w="2880"/>
          </w:tcPr>
          <w:p>
            <w:r/>
            <w:r>
              <w:t>Object to processing based on legitimate interests.</w:t>
            </w:r>
          </w:p>
        </w:tc>
      </w:tr>
      <w:tr>
        <w:tc>
          <w:tcPr>
            <w:tcW w:type="dxa" w:w="2880"/>
          </w:tcPr>
          <w:p>
            <w:r/>
            <w:r>
              <w:t>Automated decisions</w:t>
            </w:r>
          </w:p>
        </w:tc>
        <w:tc>
          <w:tcPr>
            <w:tcW w:type="dxa" w:w="2880"/>
          </w:tcPr>
          <w:p>
            <w:r/>
            <w:r>
              <w:t>22</w:t>
            </w:r>
          </w:p>
        </w:tc>
        <w:tc>
          <w:tcPr>
            <w:tcW w:type="dxa" w:w="2880"/>
          </w:tcPr>
          <w:p>
            <w:r/>
            <w:r>
              <w:t>Right not to be subject to a solely automated decision producing legal effects — relevant to AI systems.</w:t>
            </w:r>
          </w:p>
        </w:tc>
      </w:tr>
    </w:tbl>
    <w:p/>
    <w:p>
      <w:pPr>
        <w:pStyle w:val="Heading2"/>
      </w:pPr>
      <w:r>
        <w:t>Intake</w:t>
      </w:r>
    </w:p>
    <w:p/>
    <w:p>
      <w:pPr>
        <w:pStyle w:val="ListBullet"/>
      </w:pPr>
      <w:r>
        <w:t>Inbound channel: a request can arrive by email, Telegram, WhatsApp, or via a worker.</w:t>
      </w:r>
    </w:p>
    <w:p>
      <w:pPr>
        <w:pStyle w:val="ListBullet"/>
      </w:pPr>
      <w:r>
        <w:t>Forward to the Governor within 24 hours of receipt.</w:t>
      </w:r>
    </w:p>
    <w:p>
      <w:pPr>
        <w:pStyle w:val="ListBullet"/>
      </w:pPr>
      <w:r>
        <w:t>Open a row in `Register.md` with ID `DSR-YYYY-NN`.</w:t>
      </w:r>
    </w:p>
    <w:p/>
    <w:p>
      <w:pPr>
        <w:pStyle w:val="Heading2"/>
      </w:pPr>
      <w:r>
        <w:t>Verification</w:t>
      </w:r>
    </w:p>
    <w:p/>
    <w:p>
      <w:r>
        <w:t>Confirm the requester's identity proportionately. Do not collect more data than necessary. If identity cannot be reasonably verified, refuse with reasons (Art. 12(6)).</w:t>
      </w:r>
    </w:p>
    <w:p/>
    <w:p>
      <w:pPr>
        <w:pStyle w:val="Heading2"/>
      </w:pPr>
      <w:r>
        <w:t>Action</w:t>
      </w:r>
    </w:p>
    <w:p/>
    <w:p>
      <w:r>
        <w:t>1. Locate the personal data across TRC sources: Outlook, Firefish, Odoo, Railway logs, Anthropic cached conversations (request a delete from Anthropic if applicable).</w:t>
      </w:r>
    </w:p>
    <w:p>
      <w:r>
        <w:t>2. Apply the right requested. Where third parties hold the data, route the request to them under Article 28 DPAs.</w:t>
      </w:r>
    </w:p>
    <w:p>
      <w:r>
        <w:t>3. Document every step in the register.</w:t>
      </w:r>
    </w:p>
    <w:p/>
    <w:p>
      <w:pPr>
        <w:pStyle w:val="Heading2"/>
      </w:pPr>
      <w:r>
        <w:t>Communication</w:t>
      </w:r>
    </w:p>
    <w:p/>
    <w:p>
      <w:pPr>
        <w:pStyle w:val="ListBullet"/>
      </w:pPr>
      <w:r>
        <w:t>Respond in writing.</w:t>
      </w:r>
    </w:p>
    <w:p>
      <w:pPr>
        <w:pStyle w:val="ListBullet"/>
      </w:pPr>
      <w:r>
        <w:t>Quote the article being exercised.</w:t>
      </w:r>
    </w:p>
    <w:p>
      <w:pPr>
        <w:pStyle w:val="ListBullet"/>
      </w:pPr>
      <w:r>
        <w:t>Where TRC refuses, give reasons and refer the requester to the IDPC.</w:t>
      </w:r>
    </w:p>
    <w:p/>
    <w:p>
      <w:pPr>
        <w:pStyle w:val="Heading2"/>
      </w:pPr>
      <w:r>
        <w:t>Special cases</w:t>
      </w:r>
    </w:p>
    <w:p/>
    <w:p>
      <w:pPr>
        <w:pStyle w:val="ListBullet"/>
      </w:pPr>
      <w:r>
        <w:rPr>
          <w:b/>
        </w:rPr>
        <w:t>AI Act Article 50(5)</w:t>
      </w:r>
      <w:r>
        <w:t xml:space="preserve"> — when the request relates to disclosure of an AI interaction, the response itself must be in clear, distinguishable language.</w:t>
      </w:r>
    </w:p>
    <w:p>
      <w:pPr>
        <w:pStyle w:val="ListBullet"/>
      </w:pPr>
      <w:r>
        <w:rPr>
          <w:b/>
        </w:rPr>
        <w:t>AI Act Article 86 (right to explanation of individual decision)</w:t>
      </w:r>
      <w:r>
        <w:t xml:space="preserve"> — if TRC ever uses AI for a decision producing legal or similarly significant effects on a person, that person is entitled to an explanation. Reference here even though no such use case is live.</w:t>
      </w:r>
    </w:p>
    <w:p>
      <w:pPr>
        <w:pStyle w:val="Heading2"/>
      </w:pPr>
      <w:r>
        <w:t>Register</w:t>
      </w:r>
    </w:p>
    <w:p>
      <w:pPr>
        <w:pStyle w:val="Heading1"/>
      </w:pPr>
      <w:r>
        <w:t>Data Subject Rights Register</w:t>
      </w:r>
    </w:p>
    <w:p/>
    <w:p>
      <w:r>
        <w:t>ID | Date received | Channel | Right(s) requested | Requester (pseudonymised) | Verified? | Due date | Closed date | Outcome</w:t>
      </w:r>
    </w:p>
    <w:p/>
    <w:p>
      <w:r>
        <w:t>_No requests recorded._</w:t>
      </w:r>
    </w:p>
    <w:p>
      <w:r>
        <w:br w:type="page"/>
      </w:r>
    </w:p>
    <w:p>
      <w:pPr>
        <w:pStyle w:val="Heading1"/>
        <w:jc w:val="left"/>
      </w:pPr>
      <w:r>
        <w:t>07 Incidents</w:t>
      </w:r>
    </w:p>
    <w:p>
      <w:pPr>
        <w:pStyle w:val="Heading2"/>
      </w:pPr>
      <w:r>
        <w:t>Procedure</w:t>
      </w:r>
    </w:p>
    <w:p>
      <w:pPr>
        <w:pStyle w:val="Heading1"/>
      </w:pPr>
      <w:r>
        <w:t>Incident Response Procedure</w:t>
      </w:r>
    </w:p>
    <w:p/>
    <w:p>
      <w:r>
        <w:t>This procedure covers two overlapping duties:</w:t>
      </w:r>
    </w:p>
    <w:p/>
    <w:p>
      <w:pPr>
        <w:pStyle w:val="ListBullet"/>
      </w:pPr>
      <w:r>
        <w:rPr>
          <w:b/>
        </w:rPr>
        <w:t>GDPR Article 33</w:t>
      </w:r>
      <w:r>
        <w:t xml:space="preserve"> — notify the </w:t>
      </w:r>
      <w:r>
        <w:rPr>
          <w:b/>
        </w:rPr>
        <w:t>Information and Data Protection Commissioner of Malta (IDPC)</w:t>
      </w:r>
      <w:r>
        <w:t xml:space="preserve"> within </w:t>
      </w:r>
      <w:r>
        <w:rPr>
          <w:b/>
        </w:rPr>
        <w:t>72 hours</w:t>
      </w:r>
      <w:r>
        <w:t xml:space="preserve"> of becoming aware of a </w:t>
      </w:r>
      <w:r>
        <w:rPr>
          <w:b/>
        </w:rPr>
        <w:t>Personal Data Breach</w:t>
      </w:r>
      <w:r>
        <w:t>, unless the breach is unlikely to result in a risk to data subjects.</w:t>
      </w:r>
    </w:p>
    <w:p>
      <w:pPr>
        <w:pStyle w:val="ListBullet"/>
      </w:pPr>
      <w:r>
        <w:rPr>
          <w:b/>
        </w:rPr>
        <w:t>GDPR Article 34</w:t>
      </w:r>
      <w:r>
        <w:t xml:space="preserve"> — notify affected </w:t>
      </w:r>
      <w:r>
        <w:rPr>
          <w:b/>
        </w:rPr>
        <w:t>data subjects</w:t>
      </w:r>
      <w:r>
        <w:t xml:space="preserve"> without undue delay where the breach is likely to result in a </w:t>
      </w:r>
      <w:r>
        <w:rPr>
          <w:b/>
        </w:rPr>
        <w:t>high risk</w:t>
      </w:r>
      <w:r>
        <w:t xml:space="preserve"> to them.</w:t>
      </w:r>
    </w:p>
    <w:p>
      <w:pPr>
        <w:pStyle w:val="ListBullet"/>
      </w:pPr>
      <w:r>
        <w:rPr>
          <w:b/>
        </w:rPr>
        <w:t>AI Act Article 26(5)</w:t>
      </w:r>
      <w:r>
        <w:t xml:space="preserve"> — inform Sam's </w:t>
      </w:r>
      <w:r>
        <w:rPr>
          <w:b/>
        </w:rPr>
        <w:t>provider</w:t>
      </w:r>
      <w:r>
        <w:t xml:space="preserve"> (Anthropic) of risks identified in operation; report serious incidents to the Maltese AI competent authority once designated.</w:t>
      </w:r>
    </w:p>
    <w:p/>
    <w:p>
      <w:pPr>
        <w:pStyle w:val="Heading2"/>
      </w:pPr>
      <w:r>
        <w:t>Detection sources</w:t>
      </w:r>
    </w:p>
    <w:p/>
    <w:p>
      <w:pPr>
        <w:pStyle w:val="ListBullet"/>
      </w:pPr>
      <w:r>
        <w:t>Security alerts from Railway, Microsoft, Anthropic or Firefish.</w:t>
      </w:r>
    </w:p>
    <w:p>
      <w:pPr>
        <w:pStyle w:val="ListBullet"/>
      </w:pPr>
      <w:r>
        <w:t>Beverly, Jonathan, or another worker reports anomalous Sam behaviour.</w:t>
      </w:r>
    </w:p>
    <w:p>
      <w:pPr>
        <w:pStyle w:val="ListBullet"/>
      </w:pPr>
      <w:r>
        <w:t>A third party reports an exposed credential.</w:t>
      </w:r>
    </w:p>
    <w:p>
      <w:pPr>
        <w:pStyle w:val="ListBullet"/>
      </w:pPr>
      <w:r>
        <w:t>An AI literacy "near miss" surfaced by a worker.</w:t>
      </w:r>
    </w:p>
    <w:p/>
    <w:p>
      <w:pPr>
        <w:pStyle w:val="Heading2"/>
      </w:pPr>
      <w:r>
        <w:t>Triage — first 4 hours</w:t>
      </w:r>
    </w:p>
    <w:p/>
    <w:p>
      <w:r>
        <w:t xml:space="preserve">1. </w:t>
      </w:r>
      <w:r>
        <w:rPr>
          <w:b/>
        </w:rPr>
        <w:t>Confirm and contain.</w:t>
      </w:r>
      <w:r>
        <w:t xml:space="preserve"> Rotate credentials. Pause Sam if necessary. Capture logs from Railway before retention expires.</w:t>
      </w:r>
    </w:p>
    <w:p>
      <w:r>
        <w:t xml:space="preserve">2. </w:t>
      </w:r>
      <w:r>
        <w:rPr>
          <w:b/>
        </w:rPr>
        <w:t>Open an incident record</w:t>
      </w:r>
      <w:r>
        <w:t xml:space="preserve"> in `Register.md` with a sequential ID `INC-YYYY-NN`.</w:t>
      </w:r>
    </w:p>
    <w:p>
      <w:r>
        <w:t xml:space="preserve">3. </w:t>
      </w:r>
      <w:r>
        <w:rPr>
          <w:b/>
        </w:rPr>
        <w:t>Initial categorisation:</w:t>
      </w:r>
    </w:p>
    <w:p>
      <w:pPr>
        <w:pStyle w:val="ListBullet2"/>
      </w:pPr>
      <w:r>
        <w:t>Personal data involved? (yes / no)</w:t>
      </w:r>
    </w:p>
    <w:p>
      <w:pPr>
        <w:pStyle w:val="ListBullet2"/>
      </w:pPr>
      <w:r>
        <w:t>Special category data? (yes / no)</w:t>
      </w:r>
    </w:p>
    <w:p>
      <w:pPr>
        <w:pStyle w:val="ListBullet2"/>
      </w:pPr>
      <w:r>
        <w:t>Approximate number of data subjects affected.</w:t>
      </w:r>
    </w:p>
    <w:p>
      <w:pPr>
        <w:pStyle w:val="ListBullet2"/>
      </w:pPr>
      <w:r>
        <w:t>Approximate volume of records.</w:t>
      </w:r>
    </w:p>
    <w:p>
      <w:r>
        <w:t xml:space="preserve">4. </w:t>
      </w:r>
      <w:r>
        <w:rPr>
          <w:b/>
        </w:rPr>
        <w:t>Notify the Governor</w:t>
      </w:r>
      <w:r>
        <w:t xml:space="preserve"> if not already aware.</w:t>
      </w:r>
    </w:p>
    <w:p/>
    <w:p>
      <w:pPr>
        <w:pStyle w:val="Heading2"/>
      </w:pPr>
      <w:r>
        <w:t>Decision — within 72 hours of awareness</w:t>
      </w:r>
    </w:p>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Trigger</w:t>
            </w:r>
          </w:p>
        </w:tc>
        <w:tc>
          <w:tcPr>
            <w:tcW w:type="dxa" w:w="4320"/>
          </w:tcPr>
          <w:p>
            <w:r>
              <w:rPr>
                <w:b/>
              </w:rPr>
            </w:r>
            <w:r>
              <w:rPr>
                <w:b/>
              </w:rPr>
              <w:t>Action</w:t>
            </w:r>
          </w:p>
        </w:tc>
      </w:tr>
      <w:tr>
        <w:tc>
          <w:tcPr>
            <w:tcW w:type="dxa" w:w="4320"/>
          </w:tcPr>
          <w:p>
            <w:r/>
            <w:r>
              <w:t xml:space="preserve">Personal data breach, </w:t>
            </w:r>
            <w:r>
              <w:rPr>
                <w:b/>
              </w:rPr>
              <w:t>any</w:t>
            </w:r>
            <w:r>
              <w:t xml:space="preserve"> risk to data subjects</w:t>
            </w:r>
          </w:p>
        </w:tc>
        <w:tc>
          <w:tcPr>
            <w:tcW w:type="dxa" w:w="4320"/>
          </w:tcPr>
          <w:p>
            <w:r/>
            <w:r>
              <w:rPr>
                <w:b/>
              </w:rPr>
              <w:t>Notify IDPC</w:t>
            </w:r>
            <w:r>
              <w:t xml:space="preserve"> under Art. 33. Use the IDPC online notification form.</w:t>
            </w:r>
          </w:p>
        </w:tc>
      </w:tr>
      <w:tr>
        <w:tc>
          <w:tcPr>
            <w:tcW w:type="dxa" w:w="4320"/>
          </w:tcPr>
          <w:p>
            <w:r/>
            <w:r>
              <w:t xml:space="preserve">Personal data breach, </w:t>
            </w:r>
            <w:r>
              <w:rPr>
                <w:b/>
              </w:rPr>
              <w:t>high</w:t>
            </w:r>
            <w:r>
              <w:t xml:space="preserve"> risk to data subjects</w:t>
            </w:r>
          </w:p>
        </w:tc>
        <w:tc>
          <w:tcPr>
            <w:tcW w:type="dxa" w:w="4320"/>
          </w:tcPr>
          <w:p>
            <w:r/>
            <w:r>
              <w:t xml:space="preserve">Additionally </w:t>
            </w:r>
            <w:r>
              <w:rPr>
                <w:b/>
              </w:rPr>
              <w:t>notify affected data subjects</w:t>
            </w:r>
            <w:r>
              <w:t xml:space="preserve"> under Art. 34.</w:t>
            </w:r>
          </w:p>
        </w:tc>
      </w:tr>
      <w:tr>
        <w:tc>
          <w:tcPr>
            <w:tcW w:type="dxa" w:w="4320"/>
          </w:tcPr>
          <w:p>
            <w:r/>
            <w:r>
              <w:t>No personal data, but operational impact</w:t>
            </w:r>
          </w:p>
        </w:tc>
        <w:tc>
          <w:tcPr>
            <w:tcW w:type="dxa" w:w="4320"/>
          </w:tcPr>
          <w:p>
            <w:r/>
            <w:r>
              <w:t>Document internally; no external notification required.</w:t>
            </w:r>
          </w:p>
        </w:tc>
      </w:tr>
      <w:tr>
        <w:tc>
          <w:tcPr>
            <w:tcW w:type="dxa" w:w="4320"/>
          </w:tcPr>
          <w:p>
            <w:r/>
            <w:r>
              <w:t>AI Act "serious incident" (death, serious damage to health, infrastructure damage, fundamental rights violation)</w:t>
            </w:r>
          </w:p>
        </w:tc>
        <w:tc>
          <w:tcPr>
            <w:tcW w:type="dxa" w:w="4320"/>
          </w:tcPr>
          <w:p>
            <w:r/>
            <w:r>
              <w:t>Notify the Maltese AI competent authority and Anthropic (Art. 26(5)).</w:t>
            </w:r>
          </w:p>
        </w:tc>
      </w:tr>
    </w:tbl>
    <w:p/>
    <w:p>
      <w:r>
        <w:t>If unsure → notify. Late notification is enforceable. Conservative is correct.</w:t>
      </w:r>
    </w:p>
    <w:p/>
    <w:p>
      <w:pPr>
        <w:pStyle w:val="Heading2"/>
      </w:pPr>
      <w:r>
        <w:t>Communication</w:t>
      </w:r>
    </w:p>
    <w:p/>
    <w:p>
      <w:pPr>
        <w:pStyle w:val="ListBullet"/>
      </w:pPr>
      <w:r>
        <w:rPr>
          <w:b/>
        </w:rPr>
        <w:t>Single voice:</w:t>
      </w:r>
      <w:r>
        <w:t xml:space="preserve"> the Governor, or a named delegate, is the only channel that speaks to authorities and to affected data subjects. No improvised statements.</w:t>
      </w:r>
    </w:p>
    <w:p>
      <w:pPr>
        <w:pStyle w:val="ListBullet"/>
      </w:pPr>
      <w:r>
        <w:rPr>
          <w:b/>
        </w:rPr>
        <w:t>Template responses:</w:t>
      </w:r>
      <w:r>
        <w:t xml:space="preserve"> see `../09 Notices/`.</w:t>
      </w:r>
    </w:p>
    <w:p/>
    <w:p>
      <w:pPr>
        <w:pStyle w:val="Heading2"/>
      </w:pPr>
      <w:r>
        <w:t>Post-incident — within 5 working days</w:t>
      </w:r>
    </w:p>
    <w:p/>
    <w:p>
      <w:r>
        <w:t xml:space="preserve">1. </w:t>
      </w:r>
      <w:r>
        <w:rPr>
          <w:b/>
        </w:rPr>
        <w:t>Root-cause analysis</w:t>
      </w:r>
      <w:r>
        <w:t xml:space="preserve"> added to the incident record.</w:t>
      </w:r>
    </w:p>
    <w:p>
      <w:r>
        <w:t xml:space="preserve">2. </w:t>
      </w:r>
      <w:r>
        <w:rPr>
          <w:b/>
        </w:rPr>
        <w:t>Lessons-learned</w:t>
      </w:r>
      <w:r>
        <w:t xml:space="preserve"> translated into a mitigation tracked in `../03 DPIAs/` or as an Open Questions item.</w:t>
      </w:r>
    </w:p>
    <w:p>
      <w:r>
        <w:t xml:space="preserve">3. </w:t>
      </w:r>
      <w:r>
        <w:rPr>
          <w:b/>
        </w:rPr>
        <w:t>Tabletop exercise</w:t>
      </w:r>
      <w:r>
        <w:t xml:space="preserve"> scheduled annually to test this procedure.</w:t>
      </w:r>
    </w:p>
    <w:p/>
    <w:p>
      <w:pPr>
        <w:pStyle w:val="Heading2"/>
      </w:pPr>
      <w:r>
        <w:t>Contacts</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Role</w:t>
            </w:r>
          </w:p>
        </w:tc>
        <w:tc>
          <w:tcPr>
            <w:tcW w:type="dxa" w:w="2880"/>
          </w:tcPr>
          <w:p>
            <w:r>
              <w:rPr>
                <w:b/>
              </w:rPr>
            </w:r>
            <w:r>
              <w:rPr>
                <w:b/>
              </w:rPr>
              <w:t>Name</w:t>
            </w:r>
          </w:p>
        </w:tc>
        <w:tc>
          <w:tcPr>
            <w:tcW w:type="dxa" w:w="2880"/>
          </w:tcPr>
          <w:p>
            <w:r>
              <w:rPr>
                <w:b/>
              </w:rPr>
            </w:r>
            <w:r>
              <w:rPr>
                <w:b/>
              </w:rPr>
              <w:t>Channel</w:t>
            </w:r>
          </w:p>
        </w:tc>
      </w:tr>
      <w:tr>
        <w:tc>
          <w:tcPr>
            <w:tcW w:type="dxa" w:w="2880"/>
          </w:tcPr>
          <w:p>
            <w:r/>
            <w:r>
              <w:t>Governor</w:t>
            </w:r>
          </w:p>
        </w:tc>
        <w:tc>
          <w:tcPr>
            <w:tcW w:type="dxa" w:w="2880"/>
          </w:tcPr>
          <w:p>
            <w:r/>
            <w:r>
              <w:t>Jonathan</w:t>
            </w:r>
          </w:p>
        </w:tc>
        <w:tc>
          <w:tcPr>
            <w:tcW w:type="dxa" w:w="2880"/>
          </w:tcPr>
          <w:p>
            <w:r/>
            <w:r>
              <w:t>jonathan@theremarkablecollective.com</w:t>
            </w:r>
          </w:p>
        </w:tc>
      </w:tr>
      <w:tr>
        <w:tc>
          <w:tcPr>
            <w:tcW w:type="dxa" w:w="2880"/>
          </w:tcPr>
          <w:p>
            <w:r/>
            <w:r>
              <w:t>Maltese supervisory authority</w:t>
            </w:r>
          </w:p>
        </w:tc>
        <w:tc>
          <w:tcPr>
            <w:tcW w:type="dxa" w:w="2880"/>
          </w:tcPr>
          <w:p>
            <w:r/>
            <w:r>
              <w:t>IDPC</w:t>
            </w:r>
          </w:p>
        </w:tc>
        <w:tc>
          <w:tcPr>
            <w:tcW w:type="dxa" w:w="2880"/>
          </w:tcPr>
          <w:p>
            <w:r/>
            <w:r>
              <w:t>https://idpc.org.mt — `idpc.info@idpc.org.mt`, +356 2328 7100</w:t>
            </w:r>
          </w:p>
        </w:tc>
      </w:tr>
      <w:tr>
        <w:tc>
          <w:tcPr>
            <w:tcW w:type="dxa" w:w="2880"/>
          </w:tcPr>
          <w:p>
            <w:r/>
            <w:r>
              <w:t>Anthropic incident contact</w:t>
            </w:r>
          </w:p>
        </w:tc>
        <w:tc>
          <w:tcPr>
            <w:tcW w:type="dxa" w:w="2880"/>
          </w:tcPr>
          <w:p>
            <w:r/>
            <w:r>
              <w:t>per Anthropic DPA</w:t>
            </w:r>
          </w:p>
        </w:tc>
        <w:tc>
          <w:tcPr>
            <w:tcW w:type="dxa" w:w="2880"/>
          </w:tcPr>
          <w:p>
            <w:r/>
            <w:r>
              <w:t>(confirm)</w:t>
            </w:r>
          </w:p>
        </w:tc>
      </w:tr>
      <w:tr>
        <w:tc>
          <w:tcPr>
            <w:tcW w:type="dxa" w:w="2880"/>
          </w:tcPr>
          <w:p>
            <w:r/>
            <w:r>
              <w:t>Microsoft Graph admin</w:t>
            </w:r>
          </w:p>
        </w:tc>
        <w:tc>
          <w:tcPr>
            <w:tcW w:type="dxa" w:w="2880"/>
          </w:tcPr>
          <w:p>
            <w:r/>
            <w:r>
              <w:t>per Microsoft tenant</w:t>
            </w:r>
          </w:p>
        </w:tc>
        <w:tc>
          <w:tcPr>
            <w:tcW w:type="dxa" w:w="2880"/>
          </w:tcPr>
          <w:p>
            <w:r/>
            <w:r>
              <w:t>(confirm)</w:t>
            </w:r>
          </w:p>
        </w:tc>
      </w:tr>
    </w:tbl>
    <w:p>
      <w:pPr>
        <w:pStyle w:val="Heading2"/>
      </w:pPr>
      <w:r>
        <w:t>Register</w:t>
      </w:r>
    </w:p>
    <w:p>
      <w:pPr>
        <w:pStyle w:val="Heading1"/>
      </w:pPr>
      <w:r>
        <w:t>Incident Register</w:t>
      </w:r>
    </w:p>
    <w:p/>
    <w:p>
      <w:r>
        <w:t>Sequential log of every personal-data incident and AI Act serious incident. Procedure: Procedure.</w:t>
      </w:r>
    </w:p>
    <w:p/>
    <w:p>
      <w:r>
        <w:t>ID | Date detected | Source | Personal data? | Data subjects affected | IDPC notified? | Data subjects notified? | Status | Root cause</w:t>
      </w:r>
    </w:p>
    <w:p/>
    <w:p>
      <w:r>
        <w:t>_No incidents recorded._</w:t>
      </w:r>
    </w:p>
    <w:p>
      <w:r>
        <w:br w:type="page"/>
      </w:r>
    </w:p>
    <w:p>
      <w:pPr>
        <w:pStyle w:val="Heading1"/>
        <w:jc w:val="left"/>
      </w:pPr>
      <w:r>
        <w:t>08 Policies</w:t>
      </w:r>
    </w:p>
    <w:p>
      <w:pPr>
        <w:pStyle w:val="Heading2"/>
      </w:pPr>
      <w:r>
        <w:t>AI Literacy Programme</w:t>
      </w:r>
    </w:p>
    <w:p>
      <w:pPr>
        <w:pStyle w:val="Heading1"/>
      </w:pPr>
      <w:r>
        <w:t>AI Literacy Programme</w:t>
      </w:r>
    </w:p>
    <w:p/>
    <w:p>
      <w:r>
        <w:t xml:space="preserve">Required by AI Act Article 4 — </w:t>
      </w:r>
      <w:r>
        <w:rPr>
          <w:b/>
        </w:rPr>
        <w:t>already in force since 2 February 2025</w:t>
      </w:r>
      <w:r>
        <w:t>.</w:t>
      </w:r>
    </w:p>
    <w:p/>
    <w:p>
      <w:pPr>
        <w:pStyle w:val="Heading2"/>
      </w:pPr>
      <w:r>
        <w:t>Scope</w:t>
      </w:r>
    </w:p>
    <w:p/>
    <w:p>
      <w:r>
        <w:t xml:space="preserve">Every TRC worker who </w:t>
      </w:r>
      <w:r>
        <w:rPr>
          <w:b/>
        </w:rPr>
        <w:t>uses, oversees, or commissions</w:t>
      </w:r>
      <w:r>
        <w:t xml:space="preserve"> an AI system on TRC's behalf must complete this programme. Currently that includes at minimum:</w:t>
      </w:r>
    </w:p>
    <w:p/>
    <w:p>
      <w:pPr>
        <w:pStyle w:val="ListBullet"/>
      </w:pPr>
      <w:r>
        <w:t>Jonathan (Governor — operates Judge Dredd, commissions Sam)</w:t>
      </w:r>
    </w:p>
    <w:p>
      <w:pPr>
        <w:pStyle w:val="ListBullet"/>
      </w:pPr>
      <w:r>
        <w:t>Beverly Cutajar (COO — primary user of Sam)</w:t>
      </w:r>
    </w:p>
    <w:p>
      <w:pPr>
        <w:pStyle w:val="ListBullet"/>
      </w:pPr>
      <w:r>
        <w:t>Any future TRC operator of an AI system</w:t>
      </w:r>
    </w:p>
    <w:p/>
    <w:p>
      <w:r>
        <w:t xml:space="preserve">The programme is </w:t>
      </w:r>
      <w:r>
        <w:rPr>
          <w:b/>
        </w:rPr>
        <w:t>proportional</w:t>
      </w:r>
      <w:r>
        <w:t xml:space="preserve"> to each person's role, prior experience, and the risk class of the AI systems they use. For Sam — likely Annex III §4 high-risk — training depth must be higher.</w:t>
      </w:r>
    </w:p>
    <w:p/>
    <w:p>
      <w:pPr>
        <w:pStyle w:val="Heading2"/>
      </w:pPr>
      <w:r>
        <w:t>Required knowledge (minimum)</w:t>
      </w:r>
    </w:p>
    <w:p/>
    <w:p>
      <w:r>
        <w:t xml:space="preserve">1. </w:t>
      </w:r>
      <w:r>
        <w:rPr>
          <w:b/>
        </w:rPr>
        <w:t>What AI is and is not.</w:t>
      </w:r>
      <w:r>
        <w:t xml:space="preserve"> Strengths and limitations of generative AI. Hallucination, drift, prompt injection.</w:t>
      </w:r>
    </w:p>
    <w:p>
      <w:r>
        <w:t xml:space="preserve">2. </w:t>
      </w:r>
      <w:r>
        <w:rPr>
          <w:b/>
        </w:rPr>
        <w:t>TRC's specific AI inventory.</w:t>
      </w:r>
      <w:r>
        <w:t xml:space="preserve"> Which agents we run, who they read data from, who owns each (see Master Audit § 2).</w:t>
      </w:r>
    </w:p>
    <w:p>
      <w:r>
        <w:t xml:space="preserve">3. </w:t>
      </w:r>
      <w:r>
        <w:rPr>
          <w:b/>
        </w:rPr>
        <w:t>Risk awareness.</w:t>
      </w:r>
    </w:p>
    <w:p>
      <w:pPr>
        <w:pStyle w:val="ListBullet2"/>
      </w:pPr>
      <w:r>
        <w:t>Why Sam's use of Firefish / Odoo data places it in Annex III §4.</w:t>
      </w:r>
    </w:p>
    <w:p>
      <w:pPr>
        <w:pStyle w:val="ListBullet2"/>
      </w:pPr>
      <w:r>
        <w:t xml:space="preserve">The difference between </w:t>
      </w:r>
      <w:r>
        <w:rPr>
          <w:b/>
        </w:rPr>
        <w:t>provider</w:t>
      </w:r>
      <w:r>
        <w:t xml:space="preserve"> and </w:t>
      </w:r>
      <w:r>
        <w:rPr>
          <w:b/>
        </w:rPr>
        <w:t>deployer</w:t>
      </w:r>
      <w:r>
        <w:t xml:space="preserve"> (Art. 26).</w:t>
      </w:r>
    </w:p>
    <w:p>
      <w:pPr>
        <w:pStyle w:val="ListBullet2"/>
      </w:pPr>
      <w:r>
        <w:t>Transparency duty (Art. 50) — staff must never disguise AI as a human reply.</w:t>
      </w:r>
    </w:p>
    <w:p>
      <w:r>
        <w:t xml:space="preserve">4. </w:t>
      </w:r>
      <w:r>
        <w:rPr>
          <w:b/>
        </w:rPr>
        <w:t>Data protection touchpoints.</w:t>
      </w:r>
      <w:r>
        <w:t xml:space="preserve"> What counts as personal data, why messages to Sam can carry it, how the ROPA documents lawful basis.</w:t>
      </w:r>
    </w:p>
    <w:p>
      <w:r>
        <w:t xml:space="preserve">5. </w:t>
      </w:r>
      <w:r>
        <w:rPr>
          <w:b/>
        </w:rPr>
        <w:t>Incident detection.</w:t>
      </w:r>
      <w:r>
        <w:t xml:space="preserve"> What to look for, how to report (see `../07 Incidents/Procedure.md`).</w:t>
      </w:r>
    </w:p>
    <w:p>
      <w:r>
        <w:t xml:space="preserve">6. </w:t>
      </w:r>
      <w:r>
        <w:rPr>
          <w:b/>
        </w:rPr>
        <w:t>Practical do / don't list</w:t>
      </w:r>
      <w:r>
        <w:t xml:space="preserve"> for prompting Sam.</w:t>
      </w:r>
    </w:p>
    <w:p/>
    <w:p>
      <w:pPr>
        <w:pStyle w:val="Heading2"/>
      </w:pPr>
      <w:r>
        <w:t>Training records</w:t>
      </w:r>
    </w:p>
    <w:p/>
    <w:p>
      <w:r>
        <w:t>Stored in `../Evidence/AI Literacy/`. Each record contains:</w:t>
      </w:r>
    </w:p>
    <w:p/>
    <w:p>
      <w:pPr>
        <w:pStyle w:val="ListBullet"/>
      </w:pPr>
      <w:r>
        <w:t>Name of trained worker</w:t>
      </w:r>
    </w:p>
    <w:p>
      <w:pPr>
        <w:pStyle w:val="ListBullet"/>
      </w:pPr>
      <w:r>
        <w:t>Date of completion</w:t>
      </w:r>
    </w:p>
    <w:p>
      <w:pPr>
        <w:pStyle w:val="ListBullet"/>
      </w:pPr>
      <w:r>
        <w:t>Materials used (curriculum version)</w:t>
      </w:r>
    </w:p>
    <w:p>
      <w:pPr>
        <w:pStyle w:val="ListBullet"/>
      </w:pPr>
      <w:r>
        <w:t>Test or attestation result</w:t>
      </w:r>
    </w:p>
    <w:p>
      <w:pPr>
        <w:pStyle w:val="ListBullet"/>
      </w:pPr>
      <w:r>
        <w:t>Next refresh date (annual)</w:t>
      </w:r>
    </w:p>
    <w:p/>
    <w:p>
      <w:pPr>
        <w:pStyle w:val="Heading2"/>
      </w:pPr>
      <w:r>
        <w:t>Refresh trigger</w:t>
      </w:r>
    </w:p>
    <w:p/>
    <w:p>
      <w:pPr>
        <w:pStyle w:val="ListBullet"/>
      </w:pPr>
      <w:r>
        <w:t>Annual.</w:t>
      </w:r>
    </w:p>
    <w:p>
      <w:pPr>
        <w:pStyle w:val="ListBullet"/>
      </w:pPr>
      <w:r>
        <w:t>On material change to the AI inventory.</w:t>
      </w:r>
    </w:p>
    <w:p>
      <w:pPr>
        <w:pStyle w:val="ListBullet"/>
      </w:pPr>
      <w:r>
        <w:t>On an incident attributed to literacy gap.</w:t>
      </w:r>
    </w:p>
    <w:p>
      <w:pPr>
        <w:pStyle w:val="Heading2"/>
      </w:pPr>
      <w:r>
        <w:t>Acceptable AI Use Policy</w:t>
      </w:r>
    </w:p>
    <w:p>
      <w:pPr>
        <w:pStyle w:val="Heading1"/>
      </w:pPr>
      <w:r>
        <w:t>Acceptable AI Use Policy</w:t>
      </w:r>
    </w:p>
    <w:p/>
    <w:p>
      <w:r>
        <w:t>Applies to every TRC worker, contractor, and authorised user of a TRC AI system.</w:t>
      </w:r>
    </w:p>
    <w:p/>
    <w:p>
      <w:pPr>
        <w:pStyle w:val="Heading2"/>
      </w:pPr>
      <w:r>
        <w:t>Permitted use</w:t>
      </w:r>
    </w:p>
    <w:p/>
    <w:p>
      <w:pPr>
        <w:pStyle w:val="ListBullet"/>
      </w:pPr>
      <w:r>
        <w:t>Use TRC-provided AI systems (Sam, Judge Dredd) for work tasks within the scope each system is designed for.</w:t>
      </w:r>
    </w:p>
    <w:p>
      <w:pPr>
        <w:pStyle w:val="ListBullet"/>
      </w:pPr>
      <w:r>
        <w:t>Forward operational data that the system already has authorised access to.</w:t>
      </w:r>
    </w:p>
    <w:p/>
    <w:p>
      <w:pPr>
        <w:pStyle w:val="Heading2"/>
      </w:pPr>
      <w:r>
        <w:t>Prohibited use</w:t>
      </w:r>
    </w:p>
    <w:p/>
    <w:p>
      <w:pPr>
        <w:pStyle w:val="ListBullet"/>
      </w:pPr>
      <w:r>
        <w:t xml:space="preserve">Sending </w:t>
      </w:r>
      <w:r>
        <w:rPr>
          <w:b/>
        </w:rPr>
        <w:t>Special Category Data</w:t>
      </w:r>
      <w:r>
        <w:t xml:space="preserve"> (health, trade-union membership, sexual orientation, religious belief, biometric or genetic data) to any AI system without a documented lawful basis and the Governor's approval.</w:t>
      </w:r>
    </w:p>
    <w:p>
      <w:pPr>
        <w:pStyle w:val="ListBullet"/>
      </w:pPr>
      <w:r>
        <w:t>Sending another organisation's confidential information that is not covered by an existing contract.</w:t>
      </w:r>
    </w:p>
    <w:p>
      <w:pPr>
        <w:pStyle w:val="ListBullet"/>
      </w:pPr>
      <w:r>
        <w:t xml:space="preserve">Using TRC AI to take a </w:t>
      </w:r>
      <w:r>
        <w:rPr>
          <w:b/>
        </w:rPr>
        <w:t>fully automated decision producing legal or similarly significant effect</w:t>
      </w:r>
      <w:r>
        <w:t xml:space="preserve"> on an individual without the safeguards of GDPR Art. 22.</w:t>
      </w:r>
    </w:p>
    <w:p>
      <w:pPr>
        <w:pStyle w:val="ListBullet"/>
      </w:pPr>
      <w:r>
        <w:t>Pretending an AI-generated reply was written by a human (breaches AI Act Art. 50 from 2 August 2026).</w:t>
      </w:r>
    </w:p>
    <w:p>
      <w:pPr>
        <w:pStyle w:val="ListBullet"/>
      </w:pPr>
      <w:r>
        <w:t>Using TRC credentials with a non-approved AI tool.</w:t>
      </w:r>
    </w:p>
    <w:p/>
    <w:p>
      <w:pPr>
        <w:pStyle w:val="Heading2"/>
      </w:pPr>
      <w:r>
        <w:t>Worker responsibilities</w:t>
      </w:r>
    </w:p>
    <w:p/>
    <w:p>
      <w:pPr>
        <w:pStyle w:val="ListBullet"/>
      </w:pPr>
      <w:r>
        <w:t>Complete the AI Literacy Programme before first use and annually.</w:t>
      </w:r>
    </w:p>
    <w:p>
      <w:pPr>
        <w:pStyle w:val="ListBullet"/>
      </w:pPr>
      <w:r>
        <w:t>Report incidents (`../07 Incidents/Procedure.md`).</w:t>
      </w:r>
    </w:p>
    <w:p>
      <w:pPr>
        <w:pStyle w:val="ListBullet"/>
      </w:pPr>
      <w:r>
        <w:t xml:space="preserve">Treat all output as </w:t>
      </w:r>
      <w:r>
        <w:rPr>
          <w:b/>
        </w:rPr>
        <w:t>draft</w:t>
      </w:r>
      <w:r>
        <w:t xml:space="preserve"> — verify before acting on it.</w:t>
      </w:r>
    </w:p>
    <w:p/>
    <w:p>
      <w:pPr>
        <w:pStyle w:val="Heading2"/>
      </w:pPr>
      <w:r>
        <w:t>Enforcement</w:t>
      </w:r>
    </w:p>
    <w:p/>
    <w:p>
      <w:r>
        <w:t>Material breach is a disciplinary matter under TRC's standard process. Repeated or wilful breach can lead to removal of AI access and contract termination.</w:t>
      </w:r>
    </w:p>
    <w:p>
      <w:pPr>
        <w:pStyle w:val="Heading2"/>
      </w:pPr>
      <w:r>
        <w:t>DPO Assessment</w:t>
      </w:r>
    </w:p>
    <w:p>
      <w:pPr>
        <w:pStyle w:val="Heading1"/>
      </w:pPr>
      <w:r>
        <w:t>DPO Appointment Assessment</w:t>
      </w:r>
    </w:p>
    <w:p/>
    <w:p>
      <w:r>
        <w:t xml:space="preserve">GDPR Article 37(1) requires a DPO when </w:t>
      </w:r>
      <w:r>
        <w:rPr>
          <w:b/>
        </w:rPr>
        <w:t>any one</w:t>
      </w:r>
      <w:r>
        <w:t xml:space="preserve"> of the following applies. Tick the boxes that apply to TRC.</w:t>
      </w:r>
    </w:p>
    <w:p/>
    <w:p>
      <w:pPr>
        <w:pStyle w:val="ListBullet"/>
      </w:pPr>
      <w:r>
        <w:rPr>
          <w:b/>
        </w:rPr>
        <w:t xml:space="preserve">[ ] </w:t>
      </w:r>
      <w:r>
        <w:rPr>
          <w:b/>
        </w:rPr>
        <w:t>(a)</w:t>
      </w:r>
      <w:r>
        <w:t xml:space="preserve"> Processing is carried out by a </w:t>
      </w:r>
      <w:r>
        <w:rPr>
          <w:b/>
        </w:rPr>
        <w:t>public authority or body</w:t>
      </w:r>
      <w:r>
        <w:t>.</w:t>
      </w:r>
    </w:p>
    <w:p>
      <w:pPr>
        <w:pStyle w:val="ListBullet"/>
      </w:pPr>
      <w:r>
        <w:rPr>
          <w:b/>
        </w:rPr>
        <w:t xml:space="preserve">[ ] </w:t>
      </w:r>
      <w:r>
        <w:rPr>
          <w:b/>
        </w:rPr>
        <w:t>(b)</w:t>
      </w:r>
      <w:r>
        <w:t xml:space="preserve"> Core activities require </w:t>
      </w:r>
      <w:r>
        <w:rPr>
          <w:b/>
        </w:rPr>
        <w:t>regular and systematic monitoring</w:t>
      </w:r>
      <w:r>
        <w:t xml:space="preserve"> of data subjects </w:t>
      </w:r>
      <w:r>
        <w:rPr>
          <w:b/>
        </w:rPr>
        <w:t>on a large scale</w:t>
      </w:r>
      <w:r>
        <w:t>.</w:t>
      </w:r>
    </w:p>
    <w:p>
      <w:pPr>
        <w:pStyle w:val="ListBullet"/>
      </w:pPr>
      <w:r>
        <w:rPr>
          <w:b/>
        </w:rPr>
        <w:t xml:space="preserve">[ ] </w:t>
      </w:r>
      <w:r>
        <w:rPr>
          <w:b/>
        </w:rPr>
        <w:t>(c)</w:t>
      </w:r>
      <w:r>
        <w:t xml:space="preserve"> Core activities consist of processing </w:t>
      </w:r>
      <w:r>
        <w:rPr>
          <w:b/>
        </w:rPr>
        <w:t>Special Category Data</w:t>
      </w:r>
      <w:r>
        <w:t xml:space="preserve"> (Art. 9) or criminal-offence data </w:t>
      </w:r>
      <w:r>
        <w:rPr>
          <w:b/>
        </w:rPr>
        <w:t>on a large scale</w:t>
      </w:r>
      <w:r>
        <w:t>.</w:t>
      </w:r>
    </w:p>
    <w:p/>
    <w:p>
      <w:pPr>
        <w:pStyle w:val="Heading2"/>
      </w:pPr>
      <w:r>
        <w:t>TRC's position</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Test</w:t>
            </w:r>
          </w:p>
        </w:tc>
        <w:tc>
          <w:tcPr>
            <w:tcW w:type="dxa" w:w="2880"/>
          </w:tcPr>
          <w:p>
            <w:r>
              <w:rPr>
                <w:b/>
              </w:rPr>
            </w:r>
            <w:r>
              <w:rPr>
                <w:b/>
              </w:rPr>
              <w:t>Applies?</w:t>
            </w:r>
          </w:p>
        </w:tc>
        <w:tc>
          <w:tcPr>
            <w:tcW w:type="dxa" w:w="2880"/>
          </w:tcPr>
          <w:p>
            <w:r>
              <w:rPr>
                <w:b/>
              </w:rPr>
            </w:r>
            <w:r>
              <w:rPr>
                <w:b/>
              </w:rPr>
              <w:t>Reasoning</w:t>
            </w:r>
          </w:p>
        </w:tc>
      </w:tr>
      <w:tr>
        <w:tc>
          <w:tcPr>
            <w:tcW w:type="dxa" w:w="2880"/>
          </w:tcPr>
          <w:p>
            <w:r/>
            <w:r>
              <w:t>(a) public body</w:t>
            </w:r>
          </w:p>
        </w:tc>
        <w:tc>
          <w:tcPr>
            <w:tcW w:type="dxa" w:w="2880"/>
          </w:tcPr>
          <w:p>
            <w:r/>
            <w:r>
              <w:t>No</w:t>
            </w:r>
          </w:p>
        </w:tc>
        <w:tc>
          <w:tcPr>
            <w:tcW w:type="dxa" w:w="2880"/>
          </w:tcPr>
          <w:p>
            <w:r/>
            <w:r>
              <w:t>TRC is a private SME.</w:t>
            </w:r>
          </w:p>
        </w:tc>
      </w:tr>
      <w:tr>
        <w:tc>
          <w:tcPr>
            <w:tcW w:type="dxa" w:w="2880"/>
          </w:tcPr>
          <w:p>
            <w:r/>
            <w:r>
              <w:t>(b) large-scale monitoring</w:t>
            </w:r>
          </w:p>
        </w:tc>
        <w:tc>
          <w:tcPr>
            <w:tcW w:type="dxa" w:w="2880"/>
          </w:tcPr>
          <w:p>
            <w:r/>
            <w:r>
              <w:rPr>
                <w:b/>
              </w:rPr>
              <w:t>Maybe — assess</w:t>
            </w:r>
          </w:p>
        </w:tc>
        <w:tc>
          <w:tcPr>
            <w:tcW w:type="dxa" w:w="2880"/>
          </w:tcPr>
          <w:p>
            <w:r/>
            <w:r>
              <w:t>If Sam reads Beverly's mailbox continuously plus the Firefish candidate pipeline plus Odoo HR, this can be argued as "regular and systematic monitoring" of TRC workers and candidates. "Large scale" is contextual — EDPB Guidelines WP243 list relevant factors.</w:t>
            </w:r>
          </w:p>
        </w:tc>
      </w:tr>
      <w:tr>
        <w:tc>
          <w:tcPr>
            <w:tcW w:type="dxa" w:w="2880"/>
          </w:tcPr>
          <w:p>
            <w:r/>
            <w:r>
              <w:t>(c) special category at scale</w:t>
            </w:r>
          </w:p>
        </w:tc>
        <w:tc>
          <w:tcPr>
            <w:tcW w:type="dxa" w:w="2880"/>
          </w:tcPr>
          <w:p>
            <w:r/>
            <w:r>
              <w:rPr>
                <w:b/>
              </w:rPr>
              <w:t>Maybe — assess</w:t>
            </w:r>
          </w:p>
        </w:tc>
        <w:tc>
          <w:tcPr>
            <w:tcW w:type="dxa" w:w="2880"/>
          </w:tcPr>
          <w:p>
            <w:r/>
            <w:r>
              <w:t>If candidate CVs and HR records hold health, trade-union, religious or biometric data and are read in volume by Sam, Art. 37(1)(c) can trigger.</w:t>
            </w:r>
          </w:p>
        </w:tc>
      </w:tr>
    </w:tbl>
    <w:p/>
    <w:p>
      <w:pPr>
        <w:pStyle w:val="Heading2"/>
      </w:pPr>
      <w:r>
        <w:t>Recommended action</w:t>
      </w:r>
    </w:p>
    <w:p/>
    <w:p>
      <w:r>
        <w:t>1. Governor reads EDPB Guidelines on Data Protection Officers (WP243).</w:t>
      </w:r>
    </w:p>
    <w:p>
      <w:r>
        <w:t>2. Governor records a written assessment on this page including the volumes (workers, candidates, monthly Sam interactions reading personal data).</w:t>
      </w:r>
    </w:p>
    <w:p>
      <w:r>
        <w:t xml:space="preserve">3. If borderline, </w:t>
      </w:r>
      <w:r>
        <w:rPr>
          <w:b/>
        </w:rPr>
        <w:t>appoint a DPO voluntarily</w:t>
      </w:r>
      <w:r>
        <w:t>. Voluntary appointment is treated by IDPC as a positive accountability signal. Notify the IDPC of the appointment if mandatory.</w:t>
      </w:r>
    </w:p>
    <w:p/>
    <w:p>
      <w:pPr>
        <w:pStyle w:val="Heading2"/>
      </w:pPr>
      <w:r>
        <w:t>If appointed</w:t>
      </w:r>
    </w:p>
    <w:p/>
    <w:p>
      <w:pPr>
        <w:pStyle w:val="ListBullet"/>
      </w:pPr>
      <w:r>
        <w:t>Name and contact published in the Privacy Notice.</w:t>
      </w:r>
    </w:p>
    <w:p>
      <w:pPr>
        <w:pStyle w:val="ListBullet"/>
      </w:pPr>
      <w:r>
        <w:t>Independence from operational AI ownership documented.</w:t>
      </w:r>
    </w:p>
    <w:p>
      <w:pPr>
        <w:pStyle w:val="ListBullet"/>
      </w:pPr>
      <w:r>
        <w:t>Resourced sufficiently to perform the role.</w:t>
      </w:r>
    </w:p>
    <w:p>
      <w:pPr>
        <w:pStyle w:val="Heading2"/>
      </w:pPr>
      <w:r>
        <w:t>Data Protection Policy</w:t>
      </w:r>
    </w:p>
    <w:p>
      <w:pPr>
        <w:pStyle w:val="Heading1"/>
      </w:pPr>
      <w:r>
        <w:t>Data Protection Policy</w:t>
      </w:r>
    </w:p>
    <w:p/>
    <w:p>
      <w:r>
        <w:t>TRC's internal policy on personal data, aligned with the General Data Protection Regulation and the Maltese Data Protection Act.</w:t>
      </w:r>
    </w:p>
    <w:p/>
    <w:p>
      <w:pPr>
        <w:pStyle w:val="Heading2"/>
      </w:pPr>
      <w:r>
        <w:t>Principles (Article 5 GDPR)</w:t>
      </w:r>
    </w:p>
    <w:p/>
    <w:p>
      <w:r>
        <w:t>TRC processes personal data:</w:t>
      </w:r>
    </w:p>
    <w:p/>
    <w:p>
      <w:r>
        <w:t xml:space="preserve">1. </w:t>
      </w:r>
      <w:r>
        <w:rPr>
          <w:b/>
        </w:rPr>
        <w:t>Lawfully, fairly, and transparently.</w:t>
      </w:r>
    </w:p>
    <w:p>
      <w:r>
        <w:t xml:space="preserve">2. For </w:t>
      </w:r>
      <w:r>
        <w:rPr>
          <w:b/>
        </w:rPr>
        <w:t>specified, explicit and legitimate purposes</w:t>
      </w:r>
      <w:r>
        <w:t xml:space="preserve"> — no purpose creep.</w:t>
      </w:r>
    </w:p>
    <w:p>
      <w:r>
        <w:t xml:space="preserve">3. </w:t>
      </w:r>
      <w:r>
        <w:rPr>
          <w:b/>
        </w:rPr>
        <w:t>Minimised</w:t>
      </w:r>
      <w:r>
        <w:t xml:space="preserve"> to what is necessary.</w:t>
      </w:r>
    </w:p>
    <w:p>
      <w:r>
        <w:t xml:space="preserve">4. </w:t>
      </w:r>
      <w:r>
        <w:rPr>
          <w:b/>
        </w:rPr>
        <w:t>Accurate</w:t>
      </w:r>
      <w:r>
        <w:t xml:space="preserve"> and kept up to date.</w:t>
      </w:r>
    </w:p>
    <w:p>
      <w:r>
        <w:t xml:space="preserve">5. </w:t>
      </w:r>
      <w:r>
        <w:rPr>
          <w:b/>
        </w:rPr>
        <w:t>Retained no longer than necessary</w:t>
      </w:r>
      <w:r>
        <w:t xml:space="preserve"> — see `Records Retention Schedule.md`.</w:t>
      </w:r>
    </w:p>
    <w:p>
      <w:r>
        <w:t xml:space="preserve">6. With </w:t>
      </w:r>
      <w:r>
        <w:rPr>
          <w:b/>
        </w:rPr>
        <w:t>integrity and confidentiality</w:t>
      </w:r>
      <w:r>
        <w:t xml:space="preserve"> — see § Technical and organisational measures below.</w:t>
      </w:r>
    </w:p>
    <w:p>
      <w:r>
        <w:t xml:space="preserve">7. </w:t>
      </w:r>
      <w:r>
        <w:rPr>
          <w:b/>
        </w:rPr>
        <w:t>Accountably</w:t>
      </w:r>
      <w:r>
        <w:t xml:space="preserve"> — TRC documents this in the vault.</w:t>
      </w:r>
    </w:p>
    <w:p/>
    <w:p>
      <w:pPr>
        <w:pStyle w:val="Heading2"/>
      </w:pPr>
      <w:r>
        <w:t>Roles</w:t>
      </w:r>
    </w:p>
    <w:p/>
    <w:p>
      <w:pPr>
        <w:pStyle w:val="ListBullet"/>
      </w:pPr>
      <w:r>
        <w:rPr>
          <w:b/>
        </w:rPr>
        <w:t>Data Controller:</w:t>
      </w:r>
      <w:r>
        <w:t xml:space="preserve"> TRC — represented by the Governor.</w:t>
      </w:r>
    </w:p>
    <w:p>
      <w:pPr>
        <w:pStyle w:val="ListBullet"/>
      </w:pPr>
      <w:r>
        <w:rPr>
          <w:b/>
        </w:rPr>
        <w:t>DPO:</w:t>
      </w:r>
      <w:r>
        <w:t xml:space="preserve"> Assessment in `DPO Assessment.md`.</w:t>
      </w:r>
    </w:p>
    <w:p>
      <w:pPr>
        <w:pStyle w:val="ListBullet"/>
      </w:pPr>
      <w:r>
        <w:rPr>
          <w:b/>
        </w:rPr>
        <w:t>Asset owners:</w:t>
      </w:r>
      <w:r>
        <w:t xml:space="preserve"> named in each asset note.</w:t>
      </w:r>
    </w:p>
    <w:p/>
    <w:p>
      <w:pPr>
        <w:pStyle w:val="Heading2"/>
      </w:pPr>
      <w:r>
        <w:t>Lawful basis</w:t>
      </w:r>
    </w:p>
    <w:p/>
    <w:p>
      <w:r>
        <w:t xml:space="preserve">The default lawful basis for processing TRC operational personal data is </w:t>
      </w:r>
      <w:r>
        <w:rPr>
          <w:b/>
        </w:rPr>
        <w:t>Article 6(1)(f) GDPR — legitimate interests</w:t>
      </w:r>
      <w:r>
        <w:t>, recorded in each ROPA. Special category data requires an additional Article 9 basis and the Governor's prior approval.</w:t>
      </w:r>
    </w:p>
    <w:p/>
    <w:p>
      <w:pPr>
        <w:pStyle w:val="Heading2"/>
      </w:pPr>
      <w:r>
        <w:t>Data subject rights</w:t>
      </w:r>
    </w:p>
    <w:p/>
    <w:p>
      <w:r>
        <w:t>See `../06 Data Subject Rights/Procedure.md`.</w:t>
      </w:r>
    </w:p>
    <w:p/>
    <w:p>
      <w:pPr>
        <w:pStyle w:val="Heading2"/>
      </w:pPr>
      <w:r>
        <w:t>International transfers</w:t>
      </w:r>
    </w:p>
    <w:p/>
    <w:p>
      <w:r>
        <w:t>See `../04 International Transfers/Transfer Register.md`. Every transfer outside the EU/EEA has a documented safeguard.</w:t>
      </w:r>
    </w:p>
    <w:p/>
    <w:p>
      <w:pPr>
        <w:pStyle w:val="Heading2"/>
      </w:pPr>
      <w:r>
        <w:t>Incidents</w:t>
      </w:r>
    </w:p>
    <w:p/>
    <w:p>
      <w:r>
        <w:t xml:space="preserve">See `../07 Incidents/Procedure.md`. </w:t>
      </w:r>
      <w:r>
        <w:rPr>
          <w:b/>
        </w:rPr>
        <w:t>72-hour notification to the IDPC is the default.</w:t>
      </w:r>
    </w:p>
    <w:p/>
    <w:p>
      <w:pPr>
        <w:pStyle w:val="Heading2"/>
      </w:pPr>
      <w:r>
        <w:t>Training</w:t>
      </w:r>
    </w:p>
    <w:p/>
    <w:p>
      <w:r>
        <w:t>See `AI Literacy Programme.md` and the general data-protection induction (TBD).</w:t>
      </w:r>
    </w:p>
    <w:p/>
    <w:p>
      <w:pPr>
        <w:pStyle w:val="Heading2"/>
      </w:pPr>
      <w:r>
        <w:t>Review</w:t>
      </w:r>
    </w:p>
    <w:p/>
    <w:p>
      <w:r>
        <w:t>This policy is reviewed annually by the Governor, and on every material change in TRC's processing or applicable law.</w:t>
      </w:r>
    </w:p>
    <w:p>
      <w:pPr>
        <w:pStyle w:val="Heading2"/>
      </w:pPr>
      <w:r>
        <w:t>Records Retention Schedule</w:t>
      </w:r>
    </w:p>
    <w:p>
      <w:pPr>
        <w:pStyle w:val="Heading1"/>
      </w:pPr>
      <w:r>
        <w:t>Records Retention Schedule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Record category</w:t>
            </w:r>
          </w:p>
        </w:tc>
        <w:tc>
          <w:tcPr>
            <w:tcW w:type="dxa" w:w="2880"/>
          </w:tcPr>
          <w:p>
            <w:r>
              <w:rPr>
                <w:b/>
              </w:rPr>
            </w:r>
            <w:r>
              <w:rPr>
                <w:b/>
              </w:rPr>
              <w:t>Retention</w:t>
            </w:r>
          </w:p>
        </w:tc>
        <w:tc>
          <w:tcPr>
            <w:tcW w:type="dxa" w:w="2880"/>
          </w:tcPr>
          <w:p>
            <w:r>
              <w:rPr>
                <w:b/>
              </w:rPr>
            </w:r>
            <w:r>
              <w:rPr>
                <w:b/>
              </w:rPr>
              <w:t>Source / basis</w:t>
            </w:r>
          </w:p>
        </w:tc>
      </w:tr>
      <w:tr>
        <w:tc>
          <w:tcPr>
            <w:tcW w:type="dxa" w:w="2880"/>
          </w:tcPr>
          <w:p>
            <w:r/>
            <w:r>
              <w:t>Sam conversation logs (Railway)</w:t>
            </w:r>
          </w:p>
        </w:tc>
        <w:tc>
          <w:tcPr>
            <w:tcW w:type="dxa" w:w="2880"/>
          </w:tcPr>
          <w:p>
            <w:r/>
            <w:r>
              <w:rPr>
                <w:b/>
              </w:rPr>
              <w:t>≥ 6 months</w:t>
            </w:r>
          </w:p>
        </w:tc>
        <w:tc>
          <w:tcPr>
            <w:tcW w:type="dxa" w:w="2880"/>
          </w:tcPr>
          <w:p>
            <w:r/>
            <w:r>
              <w:t>AI Act Art. 26(6) — minimum for high-risk AI</w:t>
            </w:r>
          </w:p>
        </w:tc>
      </w:tr>
      <w:tr>
        <w:tc>
          <w:tcPr>
            <w:tcW w:type="dxa" w:w="2880"/>
          </w:tcPr>
          <w:p>
            <w:r/>
            <w:r>
              <w:t>Sam conversation logs (Anthropic side)</w:t>
            </w:r>
          </w:p>
        </w:tc>
        <w:tc>
          <w:tcPr>
            <w:tcW w:type="dxa" w:w="2880"/>
          </w:tcPr>
          <w:p>
            <w:r/>
            <w:r>
              <w:t xml:space="preserve">per Anthropic contractual setting — target </w:t>
            </w:r>
            <w:r>
              <w:rPr>
                <w:b/>
              </w:rPr>
              <w:t>zero retention</w:t>
            </w:r>
          </w:p>
        </w:tc>
        <w:tc>
          <w:tcPr>
            <w:tcW w:type="dxa" w:w="2880"/>
          </w:tcPr>
          <w:p>
            <w:r/>
            <w:r>
              <w:t>TRC processor agreement</w:t>
            </w:r>
          </w:p>
        </w:tc>
      </w:tr>
      <w:tr>
        <w:tc>
          <w:tcPr>
            <w:tcW w:type="dxa" w:w="2880"/>
          </w:tcPr>
          <w:p>
            <w:r/>
            <w:r>
              <w:t>Telegram / WhatsApp message metadata</w:t>
            </w:r>
          </w:p>
        </w:tc>
        <w:tc>
          <w:tcPr>
            <w:tcW w:type="dxa" w:w="2880"/>
          </w:tcPr>
          <w:p>
            <w:r/>
            <w:r>
              <w:t>as long as the messaging platform retains it; TRC does not duplicate</w:t>
            </w:r>
          </w:p>
        </w:tc>
        <w:tc>
          <w:tcPr>
            <w:tcW w:type="dxa" w:w="2880"/>
          </w:tcPr>
          <w:p>
            <w:r/>
            <w:r>
              <w:t>platform terms</w:t>
            </w:r>
          </w:p>
        </w:tc>
      </w:tr>
      <w:tr>
        <w:tc>
          <w:tcPr>
            <w:tcW w:type="dxa" w:w="2880"/>
          </w:tcPr>
          <w:p>
            <w:r/>
            <w:r>
              <w:t>Audit artefacts (this vault)</w:t>
            </w:r>
          </w:p>
        </w:tc>
        <w:tc>
          <w:tcPr>
            <w:tcW w:type="dxa" w:w="2880"/>
          </w:tcPr>
          <w:p>
            <w:r/>
            <w:r>
              <w:rPr>
                <w:b/>
              </w:rPr>
              <w:t>6 years</w:t>
            </w:r>
            <w:r>
              <w:t xml:space="preserve"> after retirement of the related asset</w:t>
            </w:r>
          </w:p>
        </w:tc>
        <w:tc>
          <w:tcPr>
            <w:tcW w:type="dxa" w:w="2880"/>
          </w:tcPr>
          <w:p>
            <w:r/>
            <w:r>
              <w:t>accountability principle, Maltese statute of limitation</w:t>
            </w:r>
          </w:p>
        </w:tc>
      </w:tr>
      <w:tr>
        <w:tc>
          <w:tcPr>
            <w:tcW w:type="dxa" w:w="2880"/>
          </w:tcPr>
          <w:p>
            <w:r/>
            <w:r>
              <w:t>DPIAs and ROPAs</w:t>
            </w:r>
          </w:p>
        </w:tc>
        <w:tc>
          <w:tcPr>
            <w:tcW w:type="dxa" w:w="2880"/>
          </w:tcPr>
          <w:p>
            <w:r/>
            <w:r>
              <w:t xml:space="preserve">for the life of the activity + </w:t>
            </w:r>
            <w:r>
              <w:rPr>
                <w:b/>
              </w:rPr>
              <w:t>6 years</w:t>
            </w:r>
          </w:p>
        </w:tc>
        <w:tc>
          <w:tcPr>
            <w:tcW w:type="dxa" w:w="2880"/>
          </w:tcPr>
          <w:p>
            <w:r/>
            <w:r>
              <w:t>accountability + supervisory review</w:t>
            </w:r>
          </w:p>
        </w:tc>
      </w:tr>
      <w:tr>
        <w:tc>
          <w:tcPr>
            <w:tcW w:type="dxa" w:w="2880"/>
          </w:tcPr>
          <w:p>
            <w:r/>
            <w:r>
              <w:t>Personal-data-breach records</w:t>
            </w:r>
          </w:p>
        </w:tc>
        <w:tc>
          <w:tcPr>
            <w:tcW w:type="dxa" w:w="2880"/>
          </w:tcPr>
          <w:p>
            <w:r/>
            <w:r>
              <w:rPr>
                <w:b/>
              </w:rPr>
              <w:t>6 years</w:t>
            </w:r>
            <w:r>
              <w:t xml:space="preserve"> after closure</w:t>
            </w:r>
          </w:p>
        </w:tc>
        <w:tc>
          <w:tcPr>
            <w:tcW w:type="dxa" w:w="2880"/>
          </w:tcPr>
          <w:p>
            <w:r/>
            <w:r>
              <w:t>GDPR Art. 33(5) implies durable record</w:t>
            </w:r>
          </w:p>
        </w:tc>
      </w:tr>
      <w:tr>
        <w:tc>
          <w:tcPr>
            <w:tcW w:type="dxa" w:w="2880"/>
          </w:tcPr>
          <w:p>
            <w:r/>
            <w:r>
              <w:t>Data-subject-rights requests</w:t>
            </w:r>
          </w:p>
        </w:tc>
        <w:tc>
          <w:tcPr>
            <w:tcW w:type="dxa" w:w="2880"/>
          </w:tcPr>
          <w:p>
            <w:r/>
            <w:r>
              <w:rPr>
                <w:b/>
              </w:rPr>
              <w:t>2 years</w:t>
            </w:r>
            <w:r>
              <w:t xml:space="preserve"> after closure</w:t>
            </w:r>
          </w:p>
        </w:tc>
        <w:tc>
          <w:tcPr>
            <w:tcW w:type="dxa" w:w="2880"/>
          </w:tcPr>
          <w:p>
            <w:r/>
            <w:r>
              <w:t>proportionate; longer if litigation reasonably anticipated</w:t>
            </w:r>
          </w:p>
        </w:tc>
      </w:tr>
      <w:tr>
        <w:tc>
          <w:tcPr>
            <w:tcW w:type="dxa" w:w="2880"/>
          </w:tcPr>
          <w:p>
            <w:r/>
            <w:r>
              <w:t>AI literacy training records</w:t>
            </w:r>
          </w:p>
        </w:tc>
        <w:tc>
          <w:tcPr>
            <w:tcW w:type="dxa" w:w="2880"/>
          </w:tcPr>
          <w:p>
            <w:r/>
            <w:r>
              <w:t xml:space="preserve">for the duration of employment + </w:t>
            </w:r>
            <w:r>
              <w:rPr>
                <w:b/>
              </w:rPr>
              <w:t>2 years</w:t>
            </w:r>
          </w:p>
        </w:tc>
        <w:tc>
          <w:tcPr>
            <w:tcW w:type="dxa" w:w="2880"/>
          </w:tcPr>
          <w:p>
            <w:r/>
            <w:r>
              <w:t>evidence of compliance with AI Act Art. 4</w:t>
            </w:r>
          </w:p>
        </w:tc>
      </w:tr>
      <w:tr>
        <w:tc>
          <w:tcPr>
            <w:tcW w:type="dxa" w:w="2880"/>
          </w:tcPr>
          <w:p>
            <w:r/>
            <w:r>
              <w:t>Vendor DPAs</w:t>
            </w:r>
          </w:p>
        </w:tc>
        <w:tc>
          <w:tcPr>
            <w:tcW w:type="dxa" w:w="2880"/>
          </w:tcPr>
          <w:p>
            <w:r/>
            <w:r>
              <w:t xml:space="preserve">for the life of the contract + </w:t>
            </w:r>
            <w:r>
              <w:rPr>
                <w:b/>
              </w:rPr>
              <w:t>6 years</w:t>
            </w:r>
          </w:p>
        </w:tc>
        <w:tc>
          <w:tcPr>
            <w:tcW w:type="dxa" w:w="2880"/>
          </w:tcPr>
          <w:p>
            <w:r/>
            <w:r>
              <w:t>dispute defence</w:t>
            </w:r>
          </w:p>
        </w:tc>
      </w:tr>
    </w:tbl>
    <w:p/>
    <w:p>
      <w:r>
        <w:t>The schedule is reviewed annually. Retention longer than the figure above requires Governor approval and a documented lawful basis.</w:t>
      </w:r>
    </w:p>
    <w:p>
      <w:pPr>
        <w:pStyle w:val="Heading2"/>
      </w:pPr>
      <w:r>
        <w:t>Vendor Management Policy</w:t>
      </w:r>
    </w:p>
    <w:p>
      <w:pPr>
        <w:pStyle w:val="Heading1"/>
      </w:pPr>
      <w:r>
        <w:t>Vendor Management Policy</w:t>
      </w:r>
    </w:p>
    <w:p/>
    <w:p>
      <w:r>
        <w:t>Procedure for adding, reviewing, and removing third-party vendors that touch TRC personal data or critical operations.</w:t>
      </w:r>
    </w:p>
    <w:p/>
    <w:p>
      <w:pPr>
        <w:pStyle w:val="Heading2"/>
      </w:pPr>
      <w:r>
        <w:t>Adding a vendor</w:t>
      </w:r>
    </w:p>
    <w:p/>
    <w:p>
      <w:r>
        <w:t>1. Document the proposed use case as a draft note in `Integrations/`.</w:t>
      </w:r>
    </w:p>
    <w:p>
      <w:r>
        <w:t>2. Confirm the vendor's establishment country and onward sub-processors.</w:t>
      </w:r>
    </w:p>
    <w:p>
      <w:r>
        <w:t>3. Sign a DPA under Article 28 before any personal data flows.</w:t>
      </w:r>
    </w:p>
    <w:p>
      <w:r>
        <w:t>4. If the vendor is outside EU/EEA, complete a Transfer Impact Assessment.</w:t>
      </w:r>
    </w:p>
    <w:p>
      <w:r>
        <w:t>5. Add the vendor to `../05 Processors and DPAs/Register.md` and the Transfer Register.</w:t>
      </w:r>
    </w:p>
    <w:p>
      <w:r>
        <w:t>6. Update affected ROPA entries.</w:t>
      </w:r>
    </w:p>
    <w:p>
      <w:r>
        <w:t>7. Run Judge Dredd to refresh the audit artefacts.</w:t>
      </w:r>
    </w:p>
    <w:p/>
    <w:p>
      <w:pPr>
        <w:pStyle w:val="Heading2"/>
      </w:pPr>
      <w:r>
        <w:t>Annual review</w:t>
      </w:r>
    </w:p>
    <w:p/>
    <w:p>
      <w:pPr>
        <w:pStyle w:val="ListBullet"/>
      </w:pPr>
      <w:r>
        <w:t>Re-confirm the DPA is current and not superseded.</w:t>
      </w:r>
    </w:p>
    <w:p>
      <w:pPr>
        <w:pStyle w:val="ListBullet"/>
      </w:pPr>
      <w:r>
        <w:t>Re-confirm international-transfer safeguard.</w:t>
      </w:r>
    </w:p>
    <w:p>
      <w:pPr>
        <w:pStyle w:val="ListBullet"/>
      </w:pPr>
      <w:r>
        <w:t>Re-confirm sub-processor list.</w:t>
      </w:r>
    </w:p>
    <w:p>
      <w:pPr>
        <w:pStyle w:val="ListBullet"/>
      </w:pPr>
      <w:r>
        <w:t>Capture screenshots into `../Evidence/`.</w:t>
      </w:r>
    </w:p>
    <w:p/>
    <w:p>
      <w:pPr>
        <w:pStyle w:val="Heading2"/>
      </w:pPr>
      <w:r>
        <w:t>Removing a vendor</w:t>
      </w:r>
    </w:p>
    <w:p/>
    <w:p>
      <w:pPr>
        <w:pStyle w:val="ListBullet"/>
      </w:pPr>
      <w:r>
        <w:t>Confirm all TRC personal data has been deleted or returned (Article 28(3)(g)).</w:t>
      </w:r>
    </w:p>
    <w:p>
      <w:pPr>
        <w:pStyle w:val="ListBullet"/>
      </w:pPr>
      <w:r>
        <w:t>Mark the entry "retired" in the processor register.</w:t>
      </w:r>
    </w:p>
    <w:p>
      <w:pPr>
        <w:pStyle w:val="ListBullet"/>
      </w:pPr>
      <w:r>
        <w:t>Update ROPAs.</w:t>
      </w:r>
    </w:p>
    <w:p>
      <w:r>
        <w:br w:type="page"/>
      </w:r>
    </w:p>
    <w:p>
      <w:pPr>
        <w:pStyle w:val="Heading1"/>
        <w:jc w:val="left"/>
      </w:pPr>
      <w:r>
        <w:t>09 Notices</w:t>
      </w:r>
    </w:p>
    <w:p>
      <w:pPr>
        <w:pStyle w:val="Heading2"/>
      </w:pPr>
      <w:r>
        <w:t>AI Transparency Notice</w:t>
      </w:r>
    </w:p>
    <w:p>
      <w:pPr>
        <w:pStyle w:val="Heading1"/>
      </w:pPr>
      <w:r>
        <w:t>AI Transparency Notice</w:t>
      </w:r>
    </w:p>
    <w:p/>
    <w:p>
      <w:r>
        <w:t xml:space="preserve">Required by AI Act Article 50 from </w:t>
      </w:r>
      <w:r>
        <w:rPr>
          <w:b/>
        </w:rPr>
        <w:t>2 August 2026</w:t>
      </w:r>
      <w:r>
        <w:t xml:space="preserve"> — every person interacting with an AI system must be told, at the time of first interaction, that they are interacting with AI.</w:t>
      </w:r>
    </w:p>
    <w:p/>
    <w:p>
      <w:pPr>
        <w:pStyle w:val="Heading2"/>
      </w:pPr>
      <w:r>
        <w:t>Where to embed</w:t>
      </w:r>
    </w:p>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Surface</w:t>
            </w:r>
          </w:p>
        </w:tc>
        <w:tc>
          <w:tcPr>
            <w:tcW w:type="dxa" w:w="4320"/>
          </w:tcPr>
          <w:p>
            <w:r>
              <w:rPr>
                <w:b/>
              </w:rPr>
            </w:r>
            <w:r>
              <w:rPr>
                <w:b/>
              </w:rPr>
              <w:t>Wording</w:t>
            </w:r>
          </w:p>
        </w:tc>
      </w:tr>
      <w:tr>
        <w:tc>
          <w:tcPr>
            <w:tcW w:type="dxa" w:w="4320"/>
          </w:tcPr>
          <w:p>
            <w:r/>
            <w:r>
              <w:t>Telegram bot description</w:t>
            </w:r>
          </w:p>
        </w:tc>
        <w:tc>
          <w:tcPr>
            <w:tcW w:type="dxa" w:w="4320"/>
          </w:tcPr>
          <w:p>
            <w:r/>
            <w:r>
              <w:t>_"Sam is an AI assistant operated by TRC. Replies are generated by AI (Claude, by Anthropic). Do not send special-category personal data."_</w:t>
            </w:r>
          </w:p>
        </w:tc>
      </w:tr>
      <w:tr>
        <w:tc>
          <w:tcPr>
            <w:tcW w:type="dxa" w:w="4320"/>
          </w:tcPr>
          <w:p>
            <w:r/>
            <w:r>
              <w:t>WhatsApp business profile</w:t>
            </w:r>
          </w:p>
        </w:tc>
        <w:tc>
          <w:tcPr>
            <w:tcW w:type="dxa" w:w="4320"/>
          </w:tcPr>
          <w:p>
            <w:r/>
            <w:r>
              <w:t>Same as above.</w:t>
            </w:r>
          </w:p>
        </w:tc>
      </w:tr>
      <w:tr>
        <w:tc>
          <w:tcPr>
            <w:tcW w:type="dxa" w:w="4320"/>
          </w:tcPr>
          <w:p>
            <w:r/>
            <w:r>
              <w:t>Sam's first message in any new chat or thread</w:t>
            </w:r>
          </w:p>
        </w:tc>
        <w:tc>
          <w:tcPr>
            <w:tcW w:type="dxa" w:w="4320"/>
          </w:tcPr>
          <w:p>
            <w:r/>
            <w:r>
              <w:t>_"Hi — I'm Sam, an AI assistant. Replies are generated by Claude. I'm operated by TRC. You can ask for a human at any time."_</w:t>
            </w:r>
          </w:p>
        </w:tc>
      </w:tr>
      <w:tr>
        <w:tc>
          <w:tcPr>
            <w:tcW w:type="dxa" w:w="4320"/>
          </w:tcPr>
          <w:p>
            <w:r/>
            <w:r>
              <w:t>Sam's first message after a 30-day inactivity gap</w:t>
            </w:r>
          </w:p>
        </w:tc>
        <w:tc>
          <w:tcPr>
            <w:tcW w:type="dxa" w:w="4320"/>
          </w:tcPr>
          <w:p>
            <w:r/>
            <w:r>
              <w:t>Repeat the disclosure.</w:t>
            </w:r>
          </w:p>
        </w:tc>
      </w:tr>
    </w:tbl>
    <w:p/>
    <w:p>
      <w:pPr>
        <w:pStyle w:val="Heading2"/>
      </w:pPr>
      <w:r>
        <w:t>Technical requirements</w:t>
      </w:r>
    </w:p>
    <w:p/>
    <w:p>
      <w:pPr>
        <w:pStyle w:val="ListBullet"/>
      </w:pPr>
      <w:r>
        <w:t xml:space="preserve">Disclosure appears at the </w:t>
      </w:r>
      <w:r>
        <w:rPr>
          <w:b/>
        </w:rPr>
        <w:t>first interaction</w:t>
      </w:r>
      <w:r>
        <w:t>, before any other content.</w:t>
      </w:r>
    </w:p>
    <w:p>
      <w:pPr>
        <w:pStyle w:val="ListBullet"/>
      </w:pPr>
      <w:r>
        <w:t xml:space="preserve">Wording is in </w:t>
      </w:r>
      <w:r>
        <w:rPr>
          <w:b/>
        </w:rPr>
        <w:t>clear, plain language</w:t>
      </w:r>
      <w:r>
        <w:t xml:space="preserve"> in the user's apparent language (English by default).</w:t>
      </w:r>
    </w:p>
    <w:p>
      <w:pPr>
        <w:pStyle w:val="ListBullet"/>
      </w:pPr>
      <w:r>
        <w:t>Persons with disabilities can perceive the notice — Telegram and WhatsApp both render the text-based notice accessibly.</w:t>
      </w:r>
    </w:p>
    <w:p/>
    <w:p>
      <w:pPr>
        <w:pStyle w:val="Heading2"/>
      </w:pPr>
      <w:r>
        <w:t>Implementation owner</w:t>
      </w:r>
    </w:p>
    <w:p/>
    <w:p>
      <w:r>
        <w:t xml:space="preserve">Jonathan (Governor). Implementation deadline </w:t>
      </w:r>
      <w:r>
        <w:rPr>
          <w:b/>
        </w:rPr>
        <w:t>2 August 2026</w:t>
      </w:r>
      <w:r>
        <w:t xml:space="preserve"> — no later.</w:t>
      </w:r>
    </w:p>
    <w:p/>
    <w:p>
      <w:pPr>
        <w:pStyle w:val="Heading2"/>
      </w:pPr>
      <w:r>
        <w:t>Evidence</w:t>
      </w:r>
    </w:p>
    <w:p/>
    <w:p>
      <w:pPr>
        <w:pStyle w:val="ListBullet"/>
      </w:pPr>
      <w:r>
        <w:t>Screenshot of the bot description (Telegram + WhatsApp) → `../Evidence/AI Transparency/`</w:t>
      </w:r>
    </w:p>
    <w:p>
      <w:pPr>
        <w:pStyle w:val="ListBullet"/>
      </w:pPr>
      <w:r>
        <w:t>Screenshot of a fresh chat showing the first-message disclosure.</w:t>
      </w:r>
    </w:p>
    <w:p>
      <w:pPr>
        <w:pStyle w:val="Heading2"/>
      </w:pPr>
      <w:r>
        <w:t>Worker Notification</w:t>
      </w:r>
    </w:p>
    <w:p>
      <w:pPr>
        <w:pStyle w:val="Heading1"/>
      </w:pPr>
      <w:r>
        <w:t>Worker Notification — Use of High-Risk AI</w:t>
      </w:r>
    </w:p>
    <w:p/>
    <w:p>
      <w:r>
        <w:t xml:space="preserve">Required by AI Act Article 26(7) from </w:t>
      </w:r>
      <w:r>
        <w:rPr>
          <w:b/>
        </w:rPr>
        <w:t>2 August 2026</w:t>
      </w:r>
      <w:r>
        <w:t>: before a high-risk AI system is put into service in the workplace, the deployer must inform the affected workers (and their representatives, where applicable) that they will be subject to it.</w:t>
      </w:r>
    </w:p>
    <w:p/>
    <w:p>
      <w:pPr>
        <w:pStyle w:val="Heading2"/>
      </w:pPr>
      <w:r>
        <w:t>Draft text</w:t>
      </w:r>
    </w:p>
    <w:p/>
    <w:p>
      <w:r>
        <w:rPr>
          <w:i/>
          <w:color w:val="555555"/>
        </w:rPr>
        <w:t>**Subject:** TRC use of an AI assistant ("Sam") that reads workplace data</w:t>
      </w:r>
    </w:p>
    <w:p>
      <w:r>
        <w:rPr>
          <w:i/>
          <w:color w:val="555555"/>
        </w:rPr>
      </w:r>
    </w:p>
    <w:p>
      <w:r>
        <w:rPr>
          <w:i/>
          <w:color w:val="555555"/>
        </w:rPr>
        <w:t>Dear [worker],</w:t>
      </w:r>
    </w:p>
    <w:p>
      <w:r>
        <w:rPr>
          <w:i/>
          <w:color w:val="555555"/>
        </w:rPr>
      </w:r>
    </w:p>
    <w:p>
      <w:r>
        <w:rPr>
          <w:i/>
          <w:color w:val="555555"/>
        </w:rPr>
        <w:t>The Remarkable Collective ("TRC") operates an AI assistant called **Sam**. Sam helps our Chief Operating Officer, Beverly Cutajar, by answering questions and drafting replies. To do that, Sam reads operational data including the COO's Outlook mailbox, our Odoo HR and CRM records, our Firefish recruitment pipeline, and our Microsoft Teams chats and calendar.</w:t>
      </w:r>
    </w:p>
    <w:p>
      <w:r>
        <w:rPr>
          <w:i/>
          <w:color w:val="555555"/>
        </w:rPr>
      </w:r>
    </w:p>
    <w:p>
      <w:r>
        <w:rPr>
          <w:i/>
          <w:color w:val="555555"/>
        </w:rPr>
        <w:t>This may include personal data about you. Because TRC operates in the European Union, the EU AI Act (Article 26(7)) requires us to inform you in writing **before** we put this system to use.</w:t>
      </w:r>
    </w:p>
    <w:p>
      <w:r>
        <w:rPr>
          <w:i/>
          <w:color w:val="555555"/>
        </w:rPr>
      </w:r>
    </w:p>
    <w:p>
      <w:r>
        <w:rPr>
          <w:i/>
          <w:color w:val="555555"/>
        </w:rPr>
        <w:t>What Sam does:</w:t>
      </w:r>
    </w:p>
    <w:p>
      <w:r>
        <w:rPr>
          <w:i/>
          <w:color w:val="555555"/>
        </w:rPr>
        <w:t>- Reads the sources listed above on request.</w:t>
      </w:r>
    </w:p>
    <w:p>
      <w:r>
        <w:rPr>
          <w:i/>
          <w:color w:val="555555"/>
        </w:rPr>
        <w:t>- Sends the relevant text to **Anthropic's Claude** in the United States to generate replies, under Standard Contractual Clauses.</w:t>
      </w:r>
    </w:p>
    <w:p>
      <w:r>
        <w:rPr>
          <w:i/>
          <w:color w:val="555555"/>
        </w:rPr>
        <w:t>- Returns the reply to the COO on Telegram or WhatsApp.</w:t>
      </w:r>
    </w:p>
    <w:p>
      <w:r>
        <w:rPr>
          <w:i/>
          <w:color w:val="555555"/>
        </w:rPr>
      </w:r>
    </w:p>
    <w:p>
      <w:r>
        <w:rPr>
          <w:i/>
          <w:color w:val="555555"/>
        </w:rPr>
        <w:t>What Sam does **not** do:</w:t>
      </w:r>
    </w:p>
    <w:p>
      <w:r>
        <w:rPr>
          <w:i/>
          <w:color w:val="555555"/>
        </w:rPr>
        <w:t>- Take any decision about your employment on its own. A human (the COO or another manager) makes every decision; Sam only assists.</w:t>
      </w:r>
    </w:p>
    <w:p>
      <w:r>
        <w:rPr>
          <w:i/>
          <w:color w:val="555555"/>
        </w:rPr>
        <w:t>- Send your data to anyone outside the processors named above.</w:t>
      </w:r>
    </w:p>
    <w:p>
      <w:r>
        <w:rPr>
          <w:i/>
          <w:color w:val="555555"/>
        </w:rPr>
      </w:r>
    </w:p>
    <w:p>
      <w:r>
        <w:rPr>
          <w:i/>
          <w:color w:val="555555"/>
        </w:rPr>
        <w:t>Your rights:</w:t>
      </w:r>
    </w:p>
    <w:p>
      <w:r>
        <w:rPr>
          <w:i/>
          <w:color w:val="555555"/>
        </w:rPr>
        <w:t>- You can ask us what personal data we hold about you and how Sam used it. See [TRC privacy notice].</w:t>
      </w:r>
    </w:p>
    <w:p>
      <w:r>
        <w:rPr>
          <w:i/>
          <w:color w:val="555555"/>
        </w:rPr>
        <w:t>- You can object to processing based on legitimate interests (GDPR Art. 21).</w:t>
      </w:r>
    </w:p>
    <w:p>
      <w:r>
        <w:rPr>
          <w:i/>
          <w:color w:val="555555"/>
        </w:rPr>
        <w:t>- If you have a concern, you can contact the Governor at jonathan@theremarkablecollective.com or the Maltese Information and Data Protection Commissioner (IDPC) at idpc.info@idpc.org.mt.</w:t>
      </w:r>
    </w:p>
    <w:p>
      <w:r>
        <w:rPr>
          <w:i/>
          <w:color w:val="555555"/>
        </w:rPr>
      </w:r>
    </w:p>
    <w:p>
      <w:r>
        <w:rPr>
          <w:i/>
          <w:color w:val="555555"/>
        </w:rPr>
        <w:t>Signed,</w:t>
      </w:r>
    </w:p>
    <w:p>
      <w:r>
        <w:rPr>
          <w:i/>
          <w:color w:val="555555"/>
        </w:rPr>
        <w:t>Jonathan, Governor</w:t>
      </w:r>
    </w:p>
    <w:p>
      <w:r>
        <w:rPr>
          <w:i/>
          <w:color w:val="555555"/>
        </w:rPr>
        <w:t>The Remarkable Collective</w:t>
      </w:r>
    </w:p>
    <w:p/>
    <w:p>
      <w:pPr>
        <w:pStyle w:val="Heading2"/>
      </w:pPr>
      <w:r>
        <w:t>Distribution</w:t>
      </w:r>
    </w:p>
    <w:p/>
    <w:p>
      <w:pPr>
        <w:pStyle w:val="ListBullet"/>
      </w:pPr>
      <w:r>
        <w:t>Beverly Cutajar (primary user).</w:t>
      </w:r>
    </w:p>
    <w:p>
      <w:pPr>
        <w:pStyle w:val="ListBullet"/>
      </w:pPr>
      <w:r>
        <w:t>Every worker whose mailbox, calendar, Teams, Odoo HR or Firefish record can be read by Sam.</w:t>
      </w:r>
    </w:p>
    <w:p/>
    <w:p>
      <w:pPr>
        <w:pStyle w:val="Heading2"/>
      </w:pPr>
      <w:r>
        <w:t>Evidence</w:t>
      </w:r>
    </w:p>
    <w:p/>
    <w:p>
      <w:r>
        <w:t>Counter-signed copy filed in `../Evidence/Worker Notification/`. The audit team will spot-check signatures during review.</w:t>
      </w:r>
    </w:p>
    <w:p>
      <w:r>
        <w:br w:type="page"/>
      </w:r>
    </w:p>
    <w:p>
      <w:pPr>
        <w:pStyle w:val="Heading1"/>
        <w:jc w:val="left"/>
      </w:pPr>
      <w:r>
        <w:t>Agents</w:t>
      </w:r>
    </w:p>
    <w:p>
      <w:pPr>
        <w:pStyle w:val="Heading2"/>
      </w:pPr>
      <w:r>
        <w:t>Judge Dredd</w:t>
      </w:r>
    </w:p>
    <w:p>
      <w:pPr>
        <w:pStyle w:val="Heading1"/>
      </w:pPr>
      <w:r>
        <w:t>Judge Dredd</w:t>
      </w:r>
    </w:p>
    <w:p/>
    <w:p>
      <w:pPr>
        <w:pStyle w:val="Heading2"/>
      </w:pPr>
      <w:r>
        <w:t>What it does (plain English)</w:t>
      </w:r>
    </w:p>
    <w:p/>
    <w:p>
      <w:r>
        <w:t>Judge Dredd is the standing project auditor for TRC. It walks every TRC project, lists every AI agent, scheduled job, dataset, and third-party tool, and writes the findings into this vault. It then rebuilds the Word document the audit team reads.</w:t>
      </w:r>
    </w:p>
    <w:p/>
    <w:p>
      <w:pPr>
        <w:pStyle w:val="Heading2"/>
      </w:pPr>
      <w:r>
        <w:t>Where it runs</w:t>
      </w:r>
    </w:p>
    <w:p/>
    <w:p>
      <w:r>
        <w:t>It is a Claude Code subagent — a markdown file in `.claude/agents/judge-dredd.md` invoked from a Claude Code session.</w:t>
      </w:r>
    </w:p>
    <w:p/>
    <w:p>
      <w:pPr>
        <w:pStyle w:val="Heading2"/>
      </w:pPr>
      <w:r>
        <w:t>What it touches</w:t>
      </w:r>
    </w:p>
    <w:p/>
    <w:p>
      <w:pPr>
        <w:pStyle w:val="ListBullet"/>
      </w:pPr>
      <w:r>
        <w:t>Reads every file in the working repository and any sibling TRC repos the Governor names.</w:t>
      </w:r>
    </w:p>
    <w:p>
      <w:pPr>
        <w:pStyle w:val="ListBullet"/>
      </w:pPr>
      <w:r>
        <w:t>Writes only inside this vault: `Master Audit.md`, the per-entity notes, `Open Questions.md`, `Change Log.md`, `Dashboard.html`, `TRC-Audit.docx`.</w:t>
      </w:r>
    </w:p>
    <w:p>
      <w:pPr>
        <w:pStyle w:val="ListBullet"/>
      </w:pPr>
      <w:r>
        <w:t>Sends no data to outside services. Stores no secrets.</w:t>
      </w:r>
    </w:p>
    <w:p/>
    <w:p>
      <w:pPr>
        <w:pStyle w:val="Heading2"/>
      </w:pPr>
      <w:r>
        <w:t>Out of scope</w:t>
      </w:r>
    </w:p>
    <w:p/>
    <w:p>
      <w:r>
        <w:t>Alfred / Polymarket — Judge Dredd skips every file, env var, and reference to it.</w:t>
      </w:r>
    </w:p>
    <w:p/>
    <w:p>
      <w:pPr>
        <w:pStyle w:val="Heading2"/>
      </w:pPr>
      <w:r>
        <w:t>Owner</w:t>
      </w:r>
    </w:p>
    <w:p/>
    <w:p>
      <w:r>
        <w:t>Governor.</w:t>
      </w:r>
    </w:p>
    <w:p>
      <w:r>
        <w:br w:type="page"/>
      </w:r>
    </w:p>
    <w:p>
      <w:pPr>
        <w:pStyle w:val="Heading1"/>
        <w:jc w:val="left"/>
      </w:pPr>
      <w:r>
        <w:t>Integrations</w:t>
      </w:r>
    </w:p>
    <w:p>
      <w:pPr>
        <w:pStyle w:val="Heading2"/>
      </w:pPr>
      <w:r>
        <w:t>Anthropic</w:t>
      </w:r>
    </w:p>
    <w:p>
      <w:pPr>
        <w:pStyle w:val="Heading1"/>
      </w:pPr>
      <w:r>
        <w:t>Anthropic</w:t>
      </w:r>
    </w:p>
    <w:p/>
    <w:p>
      <w:pPr>
        <w:pStyle w:val="Heading2"/>
      </w:pPr>
      <w:r>
        <w:t>What it is (plain English)</w:t>
      </w:r>
    </w:p>
    <w:p/>
    <w:p>
      <w:r>
        <w:t>The company that makes Claude, the AI model TRC projects send messages to. Access is via an API key billed per use.</w:t>
      </w:r>
    </w:p>
    <w:p/>
    <w:p>
      <w:pPr>
        <w:pStyle w:val="Heading2"/>
      </w:pPr>
      <w:r>
        <w:t>How TRC uses it</w:t>
      </w:r>
    </w:p>
    <w:p/>
    <w:p>
      <w:r>
        <w:t>Every TRC AI agent — Sam, Judge Dredd, and any future agent — sends conversation text to Anthropic and receives a generated reply.</w:t>
      </w:r>
    </w:p>
    <w:p/>
    <w:p>
      <w:pPr>
        <w:pStyle w:val="Heading2"/>
      </w:pPr>
      <w:r>
        <w:t>Why this matters to auditors</w:t>
      </w:r>
    </w:p>
    <w:p/>
    <w:p>
      <w:r>
        <w:t>Text sent to Anthropic leaves TRC's perimeter. The audit must confirm:</w:t>
      </w:r>
    </w:p>
    <w:p/>
    <w:p>
      <w:pPr>
        <w:pStyle w:val="ListBullet"/>
      </w:pPr>
      <w:r>
        <w:t>Which conversations are sent (and which are not).</w:t>
      </w:r>
    </w:p>
    <w:p>
      <w:pPr>
        <w:pStyle w:val="ListBullet"/>
      </w:pPr>
      <w:r>
        <w:t>Whether Anthropic's data-retention setting matches TRC policy.</w:t>
      </w:r>
    </w:p>
    <w:p>
      <w:pPr>
        <w:pStyle w:val="ListBullet"/>
      </w:pPr>
      <w:r>
        <w:t>Who pays the bill.</w:t>
      </w:r>
    </w:p>
    <w:p>
      <w:pPr>
        <w:pStyle w:val="Heading2"/>
      </w:pPr>
      <w:r>
        <w:t>Claude</w:t>
      </w:r>
    </w:p>
    <w:p>
      <w:pPr>
        <w:pStyle w:val="Heading1"/>
      </w:pPr>
      <w:r>
        <w:t>Claude</w:t>
      </w:r>
    </w:p>
    <w:p/>
    <w:p>
      <w:pPr>
        <w:pStyle w:val="Heading2"/>
      </w:pPr>
      <w:r>
        <w:t>What it is (plain English)</w:t>
      </w:r>
    </w:p>
    <w:p/>
    <w:p>
      <w:r>
        <w:t>Anthropic's AI assistant. TRC sends user messages to Claude and forwards the reply back through Telegram, WhatsApp, or another channel.</w:t>
      </w:r>
    </w:p>
    <w:p/>
    <w:p>
      <w:pPr>
        <w:pStyle w:val="Heading2"/>
      </w:pPr>
      <w:r>
        <w:t>How TRC uses it</w:t>
      </w:r>
    </w:p>
    <w:p/>
    <w:p>
      <w:r>
        <w:t>The TRC bot servers call Claude with each user message plus a system prompt that defines the agent's role (e.g. Sam as Chief of Staff).</w:t>
      </w:r>
    </w:p>
    <w:p/>
    <w:p>
      <w:pPr>
        <w:pStyle w:val="Heading2"/>
      </w:pPr>
      <w:r>
        <w:t>Why this matters to auditors</w:t>
      </w:r>
    </w:p>
    <w:p/>
    <w:p>
      <w:r>
        <w:t>The model version, system prompt, and any tool use determine what the agent can do. The audit should pin which Claude model each TRC agent uses and when it last changed.</w:t>
      </w:r>
    </w:p>
    <w:p>
      <w:pPr>
        <w:pStyle w:val="Heading2"/>
      </w:pPr>
      <w:r>
        <w:t>Firefish</w:t>
      </w:r>
    </w:p>
    <w:p>
      <w:pPr>
        <w:pStyle w:val="Heading1"/>
      </w:pPr>
      <w:r>
        <w:t>Firefish</w:t>
      </w:r>
    </w:p>
    <w:p/>
    <w:p>
      <w:pPr>
        <w:pStyle w:val="Heading2"/>
      </w:pPr>
      <w:r>
        <w:t>What it is (plain English)</w:t>
      </w:r>
    </w:p>
    <w:p/>
    <w:p>
      <w:r>
        <w:t>A recruitment CRM. TRC reads candidate, job, and placement records from Firefish over its API.</w:t>
      </w:r>
    </w:p>
    <w:p/>
    <w:p>
      <w:pPr>
        <w:pStyle w:val="Heading2"/>
      </w:pPr>
      <w:r>
        <w:t>How TRC uses it</w:t>
      </w:r>
    </w:p>
    <w:p/>
    <w:p>
      <w:r>
        <w:t>Sam queries Firefish to surface candidate pipelines and recent placements when Beverly asks recruiting-related questions.</w:t>
      </w:r>
    </w:p>
    <w:p/>
    <w:p>
      <w:pPr>
        <w:pStyle w:val="Heading2"/>
      </w:pPr>
      <w:r>
        <w:t>Why this matters to auditors</w:t>
      </w:r>
    </w:p>
    <w:p/>
    <w:p>
      <w:r>
        <w:t>Firefish holds personal data about job candidates. The audit must confirm consent, retention, and whether read-only access is enough (no writes).</w:t>
      </w:r>
    </w:p>
    <w:p>
      <w:pPr>
        <w:pStyle w:val="Heading2"/>
      </w:pPr>
      <w:r>
        <w:t>Microsoft Graph</w:t>
      </w:r>
    </w:p>
    <w:p>
      <w:pPr>
        <w:pStyle w:val="Heading1"/>
      </w:pPr>
      <w:r>
        <w:t>Microsoft Graph</w:t>
      </w:r>
    </w:p>
    <w:p/>
    <w:p>
      <w:pPr>
        <w:pStyle w:val="Heading2"/>
      </w:pPr>
      <w:r>
        <w:t>What it is (plain English)</w:t>
      </w:r>
    </w:p>
    <w:p/>
    <w:p>
      <w:r>
        <w:t>Microsoft's API for reading and writing Outlook mail, Teams chats, OneDrive files, and calendar entries on behalf of a user. Access is via an Azure AD application registered in TRC's Microsoft 365 tenant.</w:t>
      </w:r>
    </w:p>
    <w:p/>
    <w:p>
      <w:pPr>
        <w:pStyle w:val="Heading2"/>
      </w:pPr>
      <w:r>
        <w:t>How TRC uses it</w:t>
      </w:r>
    </w:p>
    <w:p/>
    <w:p>
      <w:r>
        <w:t>Sam reads Beverly's calendar, mailbox, and (where permitted) Teams chats to answer Chief-of-Staff questions and draft replies.</w:t>
      </w:r>
    </w:p>
    <w:p/>
    <w:p>
      <w:pPr>
        <w:pStyle w:val="Heading2"/>
      </w:pPr>
      <w:r>
        <w:t>Why this matters to auditors</w:t>
      </w:r>
    </w:p>
    <w:p/>
    <w:p>
      <w:r>
        <w:t>This is the most sensitive integration in the stack — it can read mail. The audit must confirm:</w:t>
      </w:r>
    </w:p>
    <w:p/>
    <w:p>
      <w:pPr>
        <w:pStyle w:val="ListBullet"/>
      </w:pPr>
      <w:r>
        <w:t>Which permissions (scopes) the app is granted.</w:t>
      </w:r>
    </w:p>
    <w:p>
      <w:pPr>
        <w:pStyle w:val="ListBullet"/>
      </w:pPr>
      <w:r>
        <w:t>Which mailboxes it can access.</w:t>
      </w:r>
    </w:p>
    <w:p>
      <w:pPr>
        <w:pStyle w:val="ListBullet"/>
      </w:pPr>
      <w:r>
        <w:t>Whether the app secret is rotated on a schedule.</w:t>
      </w:r>
    </w:p>
    <w:p>
      <w:pPr>
        <w:pStyle w:val="Heading2"/>
      </w:pPr>
      <w:r>
        <w:t>Odoo</w:t>
      </w:r>
    </w:p>
    <w:p>
      <w:pPr>
        <w:pStyle w:val="Heading1"/>
      </w:pPr>
      <w:r>
        <w:t>Odoo</w:t>
      </w:r>
    </w:p>
    <w:p/>
    <w:p>
      <w:pPr>
        <w:pStyle w:val="Heading2"/>
      </w:pPr>
      <w:r>
        <w:t>What it is (plain English)</w:t>
      </w:r>
    </w:p>
    <w:p/>
    <w:p>
      <w:r>
        <w:t>A business software platform that holds CRM, HR, and accounting records. TRC's Odoo instance is the working system of record for Think Talent. TRC code talks to Odoo over JSON-RPC.</w:t>
      </w:r>
    </w:p>
    <w:p/>
    <w:p>
      <w:pPr>
        <w:pStyle w:val="Heading2"/>
      </w:pPr>
      <w:r>
        <w:t>How TRC uses it</w:t>
      </w:r>
    </w:p>
    <w:p/>
    <w:p>
      <w:r>
        <w:t>Sam queries Odoo to look up candidates, jobs, contracts, and tasks. Authentication is via an API key tied to a named user.</w:t>
      </w:r>
    </w:p>
    <w:p/>
    <w:p>
      <w:pPr>
        <w:pStyle w:val="Heading2"/>
      </w:pPr>
      <w:r>
        <w:t>Why this matters to auditors</w:t>
      </w:r>
    </w:p>
    <w:p/>
    <w:p>
      <w:r>
        <w:t>Odoo holds personal data about candidates and staff. The audit must confirm:</w:t>
      </w:r>
    </w:p>
    <w:p/>
    <w:p>
      <w:pPr>
        <w:pStyle w:val="ListBullet"/>
      </w:pPr>
      <w:r>
        <w:t>Which Odoo user the API key belongs to and what permissions it has.</w:t>
      </w:r>
    </w:p>
    <w:p>
      <w:pPr>
        <w:pStyle w:val="ListBullet"/>
      </w:pPr>
      <w:r>
        <w:t>Whether queries are logged.</w:t>
      </w:r>
    </w:p>
    <w:p>
      <w:pPr>
        <w:pStyle w:val="Heading2"/>
      </w:pPr>
      <w:r>
        <w:t>Railway</w:t>
      </w:r>
    </w:p>
    <w:p>
      <w:pPr>
        <w:pStyle w:val="Heading1"/>
      </w:pPr>
      <w:r>
        <w:t>Railway</w:t>
      </w:r>
    </w:p>
    <w:p/>
    <w:p>
      <w:pPr>
        <w:pStyle w:val="Heading2"/>
      </w:pPr>
      <w:r>
        <w:t>What it is (plain English)</w:t>
      </w:r>
    </w:p>
    <w:p/>
    <w:p>
      <w:r>
        <w:t>A cloud hosting service. Code is pushed to Railway and Railway runs it on the internet so the app or bot is always reachable. Railway also handles deployment, environment variables, and basic logs.</w:t>
      </w:r>
    </w:p>
    <w:p/>
    <w:p>
      <w:pPr>
        <w:pStyle w:val="Heading2"/>
      </w:pPr>
      <w:r>
        <w:t>How TRC uses it</w:t>
      </w:r>
    </w:p>
    <w:p/>
    <w:p>
      <w:r>
        <w:t>Hosts the always-on bots and APIs (e.g. Sam on Telegram and WhatsApp). When the Governor pushes new code to the connected GitHub branch, Railway rebuilds and redeploys automatically.</w:t>
      </w:r>
    </w:p>
    <w:p/>
    <w:p>
      <w:pPr>
        <w:pStyle w:val="Heading2"/>
      </w:pPr>
      <w:r>
        <w:t>Why this matters to auditors</w:t>
      </w:r>
    </w:p>
    <w:p/>
    <w:p>
      <w:r>
        <w:t xml:space="preserve">Anything running on Railway can read the environment variables Railway stores. The audit needs the </w:t>
      </w:r>
      <w:r>
        <w:rPr>
          <w:b/>
        </w:rPr>
        <w:t>billing-account holder</w:t>
      </w:r>
      <w:r>
        <w:t xml:space="preserve"> and a list of </w:t>
      </w:r>
      <w:r>
        <w:rPr>
          <w:b/>
        </w:rPr>
        <w:t>which TRC projects share the Railway workspace</w:t>
      </w:r>
      <w:r>
        <w:t>.</w:t>
      </w:r>
    </w:p>
    <w:p/>
    <w:p>
      <w:pPr>
        <w:pStyle w:val="Heading2"/>
      </w:pPr>
      <w:r>
        <w:t>Open questions</w:t>
      </w:r>
    </w:p>
    <w:p/>
    <w:p>
      <w:r>
        <w:t>See Open Questions → "Who is the billing-account holder for Railway?"</w:t>
      </w:r>
    </w:p>
    <w:p>
      <w:pPr>
        <w:pStyle w:val="Heading2"/>
      </w:pPr>
      <w:r>
        <w:t>Telegram Bot API</w:t>
      </w:r>
    </w:p>
    <w:p>
      <w:pPr>
        <w:pStyle w:val="Heading1"/>
      </w:pPr>
      <w:r>
        <w:t>Telegram Bot API</w:t>
      </w:r>
    </w:p>
    <w:p/>
    <w:p>
      <w:pPr>
        <w:pStyle w:val="Heading2"/>
      </w:pPr>
      <w:r>
        <w:t>What it is (plain English)</w:t>
      </w:r>
    </w:p>
    <w:p/>
    <w:p>
      <w:r>
        <w:t>The interface Telegram provides so an application can read messages sent to a bot account and reply to them. Each bot has a secret token; whoever holds the token controls the bot.</w:t>
      </w:r>
    </w:p>
    <w:p/>
    <w:p>
      <w:pPr>
        <w:pStyle w:val="Heading2"/>
      </w:pPr>
      <w:r>
        <w:t>How TRC uses it</w:t>
      </w:r>
    </w:p>
    <w:p/>
    <w:p>
      <w:r>
        <w:t>TRC bot accounts (e.g. Sam) receive messages via a Webhook pointed at the Railway-hosted server. The bot token sits in an environment variable.</w:t>
      </w:r>
    </w:p>
    <w:p/>
    <w:p>
      <w:pPr>
        <w:pStyle w:val="Heading2"/>
      </w:pPr>
      <w:r>
        <w:t>Why this matters to auditors</w:t>
      </w:r>
    </w:p>
    <w:p/>
    <w:p>
      <w:r>
        <w:t>The token is a long-lived secret. The audit needs to confirm:</w:t>
      </w:r>
    </w:p>
    <w:p/>
    <w:p>
      <w:pPr>
        <w:pStyle w:val="ListBullet"/>
      </w:pPr>
      <w:r>
        <w:t xml:space="preserve">The token is </w:t>
      </w:r>
      <w:r>
        <w:rPr>
          <w:b/>
        </w:rPr>
        <w:t>only</w:t>
      </w:r>
      <w:r>
        <w:t xml:space="preserve"> in Railway's encrypted variables — not in any committed file.</w:t>
      </w:r>
    </w:p>
    <w:p>
      <w:pPr>
        <w:pStyle w:val="ListBullet"/>
      </w:pPr>
      <w:r>
        <w:t xml:space="preserve">Telegram </w:t>
      </w:r>
      <w:r>
        <w:rPr>
          <w:b/>
        </w:rPr>
        <w:t>user IDs</w:t>
      </w:r>
      <w:r>
        <w:t xml:space="preserve"> allowed to message the bot are explicitly enumerated.</w:t>
      </w:r>
    </w:p>
    <w:p>
      <w:pPr>
        <w:pStyle w:val="Heading2"/>
      </w:pPr>
      <w:r>
        <w:t>WhatsApp Cloud API</w:t>
      </w:r>
    </w:p>
    <w:p>
      <w:pPr>
        <w:pStyle w:val="Heading1"/>
      </w:pPr>
      <w:r>
        <w:t>WhatsApp Cloud API</w:t>
      </w:r>
    </w:p>
    <w:p/>
    <w:p>
      <w:pPr>
        <w:pStyle w:val="Heading2"/>
      </w:pPr>
      <w:r>
        <w:t>What it is (plain English)</w:t>
      </w:r>
    </w:p>
    <w:p/>
    <w:p>
      <w:r>
        <w:t>Meta's hosted service for sending and receiving WhatsApp messages from a business phone number. Messages arrive at TRC via a Webhook and the bot replies through Meta's API.</w:t>
      </w:r>
    </w:p>
    <w:p/>
    <w:p>
      <w:pPr>
        <w:pStyle w:val="Heading2"/>
      </w:pPr>
      <w:r>
        <w:t>How TRC uses it</w:t>
      </w:r>
    </w:p>
    <w:p/>
    <w:p>
      <w:r>
        <w:t>A registered business phone number forwards incoming WhatsApp messages to the Railway-hosted server. The server checks the sender against an allow-list and routes the conversation to Claude.</w:t>
      </w:r>
    </w:p>
    <w:p/>
    <w:p>
      <w:pPr>
        <w:pStyle w:val="Heading2"/>
      </w:pPr>
      <w:r>
        <w:t>Why this matters to auditors</w:t>
      </w:r>
    </w:p>
    <w:p/>
    <w:p>
      <w:r>
        <w:t>WhatsApp messages can include personal data. The audit needs to confirm what TRC stores, what it forwards to Anthropic, and how long it keeps it.</w:t>
      </w:r>
    </w:p>
    <w:p>
      <w:r>
        <w:br w:type="page"/>
      </w:r>
    </w:p>
    <w:p>
      <w:pPr>
        <w:pStyle w:val="Heading1"/>
        <w:jc w:val="left"/>
      </w:pPr>
      <w:r>
        <w:t>Concepts</w:t>
      </w:r>
    </w:p>
    <w:p>
      <w:pPr>
        <w:pStyle w:val="Heading2"/>
      </w:pPr>
      <w:r>
        <w:t>Alfred</w:t>
      </w:r>
    </w:p>
    <w:p>
      <w:pPr>
        <w:pStyle w:val="Heading1"/>
      </w:pPr>
      <w:r>
        <w:t>Alfred</w:t>
      </w:r>
    </w:p>
    <w:p/>
    <w:p>
      <w:r>
        <w:t>Alfred is TRC's Polymarket bot. It is explicitly out of scope of the TRC audit programme by the Governor's instruction. It is never assessed, listed, or referenced in compliance artefacts.</w:t>
      </w:r>
    </w:p>
    <w:p>
      <w:pPr>
        <w:pStyle w:val="Heading2"/>
      </w:pPr>
      <w:r>
        <w:t>Annex III - High-Risk AI Systems</w:t>
      </w:r>
    </w:p>
    <w:p>
      <w:pPr>
        <w:pStyle w:val="Heading1"/>
      </w:pPr>
      <w:r>
        <w:t>Annex III - High-Risk AI Systems</w:t>
      </w:r>
    </w:p>
    <w:p/>
    <w:p>
      <w:pPr>
        <w:pStyle w:val="Heading2"/>
      </w:pPr>
      <w:r>
        <w:t>What it is (plain English)</w:t>
      </w:r>
    </w:p>
    <w:p>
      <w:r>
        <w:t>Annex III of the EU AI Act lists the use cases that are treated as high-risk under Article 6(2). The list is organised into areas including biometrics, critical infrastructure, education, employment, access to essential services, law enforcement, migration, and administration of justice. Annex III §4 specifically covers AI used in employment, worker management, and access to self-employment — for example CV-screening, candidate ranking, task allocation, and performance evaluation tools.</w:t>
      </w:r>
    </w:p>
    <w:p/>
    <w:p>
      <w:pPr>
        <w:pStyle w:val="Heading2"/>
      </w:pPr>
      <w:r>
        <w:t>What it means for TRC</w:t>
      </w:r>
    </w:p>
    <w:p>
      <w:r>
        <w:t>TRC's recruitment activity is the obvious exposure: any AI feature inside Firefish, Odoo, or a bolt-on tool that ranks, scores, or filters candidates is potentially Annex III §4 high-risk. Each such feature triggers the Article 26 - Deployer Obligations duties. The audit will expect an inventory of recruitment tooling with a per-feature classification (high-risk yes / no / unclear) signed off by the DPO.</w:t>
      </w:r>
    </w:p>
    <w:p/>
    <w:p>
      <w:pPr>
        <w:pStyle w:val="Heading2"/>
      </w:pPr>
      <w:r>
        <w:t>When it applies</w:t>
      </w:r>
    </w:p>
    <w:p>
      <w:r>
        <w:t>The high-risk regime, including Annex III, applies from 2 August 2026. The classification work should be done well in advance so the right contracts and oversight processes are in place.</w:t>
      </w:r>
    </w:p>
    <w:p>
      <w:pPr>
        <w:pStyle w:val="Heading2"/>
      </w:pPr>
      <w:r>
        <w:t>Article 26 - Deployer Obligations</w:t>
      </w:r>
    </w:p>
    <w:p>
      <w:pPr>
        <w:pStyle w:val="Heading1"/>
      </w:pPr>
      <w:r>
        <w:t>Article 26 - Deployer Obligations</w:t>
      </w:r>
    </w:p>
    <w:p/>
    <w:p>
      <w:pPr>
        <w:pStyle w:val="Heading2"/>
      </w:pPr>
      <w:r>
        <w:t>What it is (plain English)</w:t>
      </w:r>
    </w:p>
    <w:p>
      <w:r>
        <w:t>Article 26 of the EU AI Act lists the duties of any organisation that deploys a high-risk AI system (as opposed to the provider that builds it). Deployers must use the system according to its instructions, assign human oversight to competent staff, monitor its operation, keep logs, and inform affected people when the system is used on them. If a deployer detects a serious incident or risk, it must notify the provider and the regulator.</w:t>
      </w:r>
    </w:p>
    <w:p/>
    <w:p>
      <w:pPr>
        <w:pStyle w:val="Heading2"/>
      </w:pPr>
      <w:r>
        <w:t>What it means for TRC</w:t>
      </w:r>
    </w:p>
    <w:p>
      <w:r>
        <w:t>Where TRC uses a third-party AI tool that falls under Annex III - High-Risk AI Systems (most plausibly recruitment or HR scoring tools), TRC becomes a deployer and inherits these duties. The audit will look for: a register of high-risk systems in use, named human overseers, retained logs, and a process to inform candidates or employees. Vendor contracts (Anthropic, Microsoft, Odoo, Firefish) must be reviewed to confirm whether any module triggers high-risk status.</w:t>
      </w:r>
    </w:p>
    <w:p/>
    <w:p>
      <w:pPr>
        <w:pStyle w:val="Heading2"/>
      </w:pPr>
      <w:r>
        <w:t>When it applies</w:t>
      </w:r>
    </w:p>
    <w:p>
      <w:r>
        <w:t>Applies from 2 August 2026. TRC should have its high-risk register and oversight assignments ready before that date.</w:t>
      </w:r>
    </w:p>
    <w:p>
      <w:pPr>
        <w:pStyle w:val="Heading2"/>
      </w:pPr>
      <w:r>
        <w:t>Article 27 - FRIA</w:t>
      </w:r>
    </w:p>
    <w:p>
      <w:pPr>
        <w:pStyle w:val="Heading1"/>
      </w:pPr>
      <w:r>
        <w:t>Article 27 - FRIA</w:t>
      </w:r>
    </w:p>
    <w:p/>
    <w:p>
      <w:pPr>
        <w:pStyle w:val="Heading2"/>
      </w:pPr>
      <w:r>
        <w:t>What it is (plain English)</w:t>
      </w:r>
    </w:p>
    <w:p>
      <w:r>
        <w:t>Article 27 introduces the Fundamental Rights Impact Assessment (FRIA). Before deploying certain high-risk AI systems, specific categories of deployer must analyse how the system could affect people's fundamental rights, identify the people likely to be affected, the risks to them, the human oversight in place, and the mitigations. The result is filed with the market surveillance authority.</w:t>
      </w:r>
    </w:p>
    <w:p/>
    <w:p>
      <w:pPr>
        <w:pStyle w:val="Heading2"/>
      </w:pPr>
      <w:r>
        <w:t>What it means for TRC</w:t>
      </w:r>
    </w:p>
    <w:p>
      <w:r>
        <w:t>The Article 27 obligation is targeted mainly at public bodies, bodies governed by public law, and private operators delivering essential public services (banking, insurance, etc.). TRC is a private SME outside those categories, so a FRIA is typically not required. The audit position is to document this scoping decision and revisit it if TRC ever takes on public-sector work or deploys an Annex III - High-Risk AI Systems tool in a covered context. A standard DPIA under GDPR is still expected where personal data is involved.</w:t>
      </w:r>
    </w:p>
    <w:p/>
    <w:p>
      <w:pPr>
        <w:pStyle w:val="Heading2"/>
      </w:pPr>
      <w:r>
        <w:t>When it applies</w:t>
      </w:r>
    </w:p>
    <w:p>
      <w:r>
        <w:t>Applies from 2 August 2026, but only to deployers in the categories listed in Article 27(1). TRC's current scoping is "not applicable, documented."</w:t>
      </w:r>
    </w:p>
    <w:p>
      <w:pPr>
        <w:pStyle w:val="Heading2"/>
      </w:pPr>
      <w:r>
        <w:t>Article 4 - AI Literacy</w:t>
      </w:r>
    </w:p>
    <w:p>
      <w:pPr>
        <w:pStyle w:val="Heading1"/>
      </w:pPr>
      <w:r>
        <w:t>Article 4 - AI Literacy</w:t>
      </w:r>
    </w:p>
    <w:p/>
    <w:p>
      <w:pPr>
        <w:pStyle w:val="Heading2"/>
      </w:pPr>
      <w:r>
        <w:t>What it is (plain English)</w:t>
      </w:r>
    </w:p>
    <w:p>
      <w:r>
        <w:t>Article 4 of the EU AI Act requires every provider and deployer of an AI system to make sure the staff and contractors who operate or use that system have a sufficient level of "AI literacy." That means they understand, in proportion to their role, what the system does, where it can go wrong, and how to use it responsibly. It is a continuous obligation, not a one-off training tick-box.</w:t>
      </w:r>
    </w:p>
    <w:p/>
    <w:p>
      <w:pPr>
        <w:pStyle w:val="Heading2"/>
      </w:pPr>
      <w:r>
        <w:t>What it means for TRC</w:t>
      </w:r>
    </w:p>
    <w:p>
      <w:r>
        <w:t>TRC must keep a documented record of who at the firm uses AI tools (for example Claude Code via Anthropic, Microsoft Copilot, or any model deployed on Railway) and what training or briefing they have received. The audit will look for an AI literacy policy, a training log, and evidence that new joiners are inducted before they touch AI workflows. The DPO or a delegated owner is accountable.</w:t>
      </w:r>
    </w:p>
    <w:p/>
    <w:p>
      <w:pPr>
        <w:pStyle w:val="Heading2"/>
      </w:pPr>
      <w:r>
        <w:t>When it applies</w:t>
      </w:r>
    </w:p>
    <w:p>
      <w:r>
        <w:t>Already in force since 2 February 2025. TRC must be able to demonstrate compliance today.</w:t>
      </w:r>
    </w:p>
    <w:p>
      <w:pPr>
        <w:pStyle w:val="Heading2"/>
      </w:pPr>
      <w:r>
        <w:t>Article 50 - AI Transparency</w:t>
      </w:r>
    </w:p>
    <w:p>
      <w:pPr>
        <w:pStyle w:val="Heading1"/>
      </w:pPr>
      <w:r>
        <w:t>Article 50 - AI Transparency</w:t>
      </w:r>
    </w:p>
    <w:p/>
    <w:p>
      <w:pPr>
        <w:pStyle w:val="Heading2"/>
      </w:pPr>
      <w:r>
        <w:t>What it is (plain English)</w:t>
      </w:r>
    </w:p>
    <w:p>
      <w:r>
        <w:t>Article 50 of the EU AI Act sets transparency duties that apply regardless of risk tier. People interacting with an AI system (for example a chatbot) must be told they are dealing with AI unless it is obvious. AI-generated or AI-manipulated text, images, audio, and video — including deepfakes — must be clearly labelled as such. Providers must also make synthetic content machine-detectable where feasible.</w:t>
      </w:r>
    </w:p>
    <w:p/>
    <w:p>
      <w:pPr>
        <w:pStyle w:val="Heading2"/>
      </w:pPr>
      <w:r>
        <w:t>What it means for TRC</w:t>
      </w:r>
    </w:p>
    <w:p>
      <w:r>
        <w:t>Any TRC product or internal tool that talks to a human (a candidate chatbot, an auto-reply, an AI-drafted email sent on behalf of a person) must disclose that AI is involved. AI-generated marketing assets and client deliverables need a visible label or footer. The audit will look for a transparency policy, sample disclosures, and a content-labelling convention applied across Claude Code outputs, Microsoft Copilot output, and any externally-facing channel.</w:t>
      </w:r>
    </w:p>
    <w:p/>
    <w:p>
      <w:pPr>
        <w:pStyle w:val="Heading2"/>
      </w:pPr>
      <w:r>
        <w:t>When it applies</w:t>
      </w:r>
    </w:p>
    <w:p>
      <w:r>
        <w:t>Applies from 2 August 2026. TRC should roll out the disclosure pattern across all customer-facing surfaces before that date.</w:t>
      </w:r>
    </w:p>
    <w:p>
      <w:pPr>
        <w:pStyle w:val="Heading2"/>
      </w:pPr>
      <w:r>
        <w:t>Claude Code</w:t>
      </w:r>
    </w:p>
    <w:p>
      <w:pPr>
        <w:pStyle w:val="Heading1"/>
      </w:pPr>
      <w:r>
        <w:t>Claude Code</w:t>
      </w:r>
    </w:p>
    <w:p/>
    <w:p>
      <w:r>
        <w:t xml:space="preserve">Anthropic's official command-line interface for Claude. It can read and edit files in a repository on the Governor's behalf. </w:t>
      </w:r>
      <w:r>
        <w:rPr>
          <w:b/>
        </w:rPr>
        <w:t>Subagents</w:t>
      </w:r>
      <w:r>
        <w:t xml:space="preserve"> are specialised personalities defined by a markdown file in `.claude/agents/` — Judge Dredd is one.</w:t>
      </w:r>
    </w:p>
    <w:p>
      <w:pPr>
        <w:pStyle w:val="Heading2"/>
      </w:pPr>
      <w:r>
        <w:t>Cron</w:t>
      </w:r>
    </w:p>
    <w:p>
      <w:pPr>
        <w:pStyle w:val="Heading1"/>
      </w:pPr>
      <w:r>
        <w:t>Cron</w:t>
      </w:r>
    </w:p>
    <w:p/>
    <w:p>
      <w:r>
        <w:t>A way to schedule a task to run automatically at fixed times — every 5 minutes, every hour, every day at 09:00 Malta time, etc. The platform running the code (e.g. Railway or GitHub Actions) takes care of starting the task on time. The audit lists each TRC cron job in Master Audit § 4.</w:t>
      </w:r>
    </w:p>
    <w:p>
      <w:pPr>
        <w:pStyle w:val="Heading2"/>
      </w:pPr>
      <w:r>
        <w:t>DPIA</w:t>
      </w:r>
    </w:p>
    <w:p>
      <w:pPr>
        <w:pStyle w:val="Heading1"/>
      </w:pPr>
      <w:r>
        <w:t>DPIA</w:t>
      </w:r>
    </w:p>
    <w:p/>
    <w:p>
      <w:pPr>
        <w:pStyle w:val="Heading2"/>
      </w:pPr>
      <w:r>
        <w:t>What it is (plain English)</w:t>
      </w:r>
    </w:p>
    <w:p>
      <w:r>
        <w:t>A Data Protection Impact Assessment (DPIA) is the structured document that proves an organisation has thought through the privacy risks of a new or changed processing activity before starting it. It describes the processing, justifies why it is necessary and proportionate, lists the risks to data subjects, and records the mitigations and residual risk. It is a living document — material changes to the processing should trigger an update.</w:t>
      </w:r>
    </w:p>
    <w:p/>
    <w:p>
      <w:pPr>
        <w:pStyle w:val="Heading2"/>
      </w:pPr>
      <w:r>
        <w:t>What it means for TRC</w:t>
      </w:r>
    </w:p>
    <w:p>
      <w:r>
        <w:t>TRC produces a DPIA whenever it adopts a new AI tool, a new recruitment automation, or any feature that profiles candidates. The DPO owns the template and signs off the result; the business owner of the activity provides the inputs. The audit will sample DPIAs to check they were completed before launch, that residual risk is acceptable, and that mitigations such as access controls or supplier checks are actually in place.</w:t>
      </w:r>
    </w:p>
    <w:p/>
    <w:p>
      <w:pPr>
        <w:pStyle w:val="Heading2"/>
      </w:pPr>
      <w:r>
        <w:t>When it applies</w:t>
      </w:r>
    </w:p>
    <w:p>
      <w:r>
        <w:t>Required under GDPR Article 35 - DPIA, in force since 25 May 2018. Triggered by any new processing likely to be high risk, including most AI deployments touching personal data.</w:t>
      </w:r>
    </w:p>
    <w:p>
      <w:pPr>
        <w:pStyle w:val="Heading2"/>
      </w:pPr>
      <w:r>
        <w:t>DPO</w:t>
      </w:r>
    </w:p>
    <w:p>
      <w:pPr>
        <w:pStyle w:val="Heading1"/>
      </w:pPr>
      <w:r>
        <w:t>DPO</w:t>
      </w:r>
    </w:p>
    <w:p/>
    <w:p>
      <w:pPr>
        <w:pStyle w:val="Heading2"/>
      </w:pPr>
      <w:r>
        <w:t>What it is (plain English)</w:t>
      </w:r>
    </w:p>
    <w:p>
      <w:r>
        <w:t>The Data Protection Officer (DPO) is the person responsible for advising the organisation on its data protection obligations, monitoring compliance, and acting as the contact point for data subjects and the supervisory authority. The role is defined in Articles 37 to 39 of the GDPR. A DPO must be able to operate independently, report to the highest level of management, and have sufficient resources and expertise.</w:t>
      </w:r>
    </w:p>
    <w:p/>
    <w:p>
      <w:pPr>
        <w:pStyle w:val="Heading2"/>
      </w:pPr>
      <w:r>
        <w:t>What it means for TRC</w:t>
      </w:r>
    </w:p>
    <w:p>
      <w:r>
        <w:t>TRC has a named DPO (or an externally contracted equivalent) who owns the GDPR Article 30 - ROPA, signs off every DPIA, reviews each Data Processing Agreement, and is the escalation point for any Personal Data Breach. The audit will check the appointment is documented, the DPO has direct access to leadership, and the workload is realistic.</w:t>
      </w:r>
    </w:p>
    <w:p/>
    <w:p>
      <w:pPr>
        <w:pStyle w:val="Heading2"/>
      </w:pPr>
      <w:r>
        <w:t>When it applies</w:t>
      </w:r>
    </w:p>
    <w:p>
      <w:r>
        <w:t>A DPO is mandatory under GDPR Article 37 when processing involves regular and systematic monitoring of data subjects at scale, or large-scale processing of Special Category Data. Even where not strictly mandatory, TRC has chosen to appoint one because the recruitment activity is data-heavy.</w:t>
      </w:r>
    </w:p>
    <w:p>
      <w:pPr>
        <w:pStyle w:val="Heading2"/>
      </w:pPr>
      <w:r>
        <w:t>Data Controller</w:t>
      </w:r>
    </w:p>
    <w:p>
      <w:pPr>
        <w:pStyle w:val="Heading1"/>
      </w:pPr>
      <w:r>
        <w:t>Data Controller</w:t>
      </w:r>
    </w:p>
    <w:p/>
    <w:p>
      <w:pPr>
        <w:pStyle w:val="Heading2"/>
      </w:pPr>
      <w:r>
        <w:t>What it is (plain English)</w:t>
      </w:r>
    </w:p>
    <w:p>
      <w:r>
        <w:t>A data controller is the organisation that decides why and how personal data is processed. The controller carries the bulk of GDPR accountability: choosing a Lawful Basis, drafting the privacy notice, signing off DPIAs, appointing processors, and responding to Data Subject Rights requests.</w:t>
      </w:r>
    </w:p>
    <w:p/>
    <w:p>
      <w:pPr>
        <w:pStyle w:val="Heading2"/>
      </w:pPr>
      <w:r>
        <w:t>What it means for TRC</w:t>
      </w:r>
    </w:p>
    <w:p>
      <w:r>
        <w:t>For candidate data in Firefish and client/contact data in Odoo, TRC is the controller — Firefish, Odoo, Anthropic, Microsoft, and Railway act as Data Processors under instruction. The audit will verify that this controller status is reflected in every Data Processing Agreement, in the privacy notice on the TRC website, and in the GDPR Article 30 - ROPA entries owned by the DPO.</w:t>
      </w:r>
    </w:p>
    <w:p/>
    <w:p>
      <w:pPr>
        <w:pStyle w:val="Heading2"/>
      </w:pPr>
      <w:r>
        <w:t>When it applies</w:t>
      </w:r>
    </w:p>
    <w:p>
      <w:r>
        <w:t>Already in force. Controller status is a matter of factual reality (who decides the purposes and means), so it cannot be contracted away even if a vendor's standard terms attempt to flip the roles.</w:t>
      </w:r>
    </w:p>
    <w:p>
      <w:pPr>
        <w:pStyle w:val="Heading2"/>
      </w:pPr>
      <w:r>
        <w:t>Data Processing Agreement</w:t>
      </w:r>
    </w:p>
    <w:p>
      <w:pPr>
        <w:pStyle w:val="Heading1"/>
      </w:pPr>
      <w:r>
        <w:t>Data Processing Agreement</w:t>
      </w:r>
    </w:p>
    <w:p/>
    <w:p>
      <w:pPr>
        <w:pStyle w:val="Heading2"/>
      </w:pPr>
      <w:r>
        <w:t>What it is (plain English)</w:t>
      </w:r>
    </w:p>
    <w:p>
      <w:r>
        <w:t>A Data Processing Agreement (DPA) is the written contract between a Data Controller and a Data Processor that sets out how the processor will handle personal data on behalf of the controller. It must contain the mandatory clauses listed in GDPR Article 28 - Processors — purpose, duration, security, confidentiality, sub-processors, audits, and what happens to the data at the end of the engagement. It is usually a standalone document or an addendum to the main services agreement.</w:t>
      </w:r>
    </w:p>
    <w:p/>
    <w:p>
      <w:pPr>
        <w:pStyle w:val="Heading2"/>
      </w:pPr>
      <w:r>
        <w:t>What it means for TRC</w:t>
      </w:r>
    </w:p>
    <w:p>
      <w:r>
        <w:t>TRC must have a DPA on file with every vendor that processes personal data on TRC's behalf, including Anthropic, Microsoft, Railway, Firefish, and Odoo. Each DPA should be reviewed before signature, kept in a central register, and re-reviewed when the supplier publishes a new version. The audit will sample the register and expect to see DPAs that match the supplier list in the GDPR Article 30 - ROPA.</w:t>
      </w:r>
    </w:p>
    <w:p/>
    <w:p>
      <w:pPr>
        <w:pStyle w:val="Heading2"/>
      </w:pPr>
      <w:r>
        <w:t>When it applies</w:t>
      </w:r>
    </w:p>
    <w:p>
      <w:r>
        <w:t>In force since 25 May 2018. Required before any personal data is shared with a processor — not after the fact.</w:t>
      </w:r>
    </w:p>
    <w:p>
      <w:pPr>
        <w:pStyle w:val="Heading2"/>
      </w:pPr>
      <w:r>
        <w:t>Data Processor</w:t>
      </w:r>
    </w:p>
    <w:p>
      <w:pPr>
        <w:pStyle w:val="Heading1"/>
      </w:pPr>
      <w:r>
        <w:t>Data Processor</w:t>
      </w:r>
    </w:p>
    <w:p/>
    <w:p>
      <w:pPr>
        <w:pStyle w:val="Heading2"/>
      </w:pPr>
      <w:r>
        <w:t>What it is (plain English)</w:t>
      </w:r>
    </w:p>
    <w:p>
      <w:r>
        <w:t>A data processor is an organisation that handles personal data strictly on a Data Controller's behalf and under that controller's documented instructions. Processors must keep their own GDPR Article 30 - ROPA, must not engage sub-processors without authorisation, must support the controller's response to Data Subject Rights requests, and must apply appropriate technical and organisational security measures.</w:t>
      </w:r>
    </w:p>
    <w:p/>
    <w:p>
      <w:pPr>
        <w:pStyle w:val="Heading2"/>
      </w:pPr>
      <w:r>
        <w:t>What it means for TRC</w:t>
      </w:r>
    </w:p>
    <w:p>
      <w:r>
        <w:t>TRC's main processors are Anthropic (model inference), Microsoft (productivity and identity), Railway (application hosting), Firefish (ATS), and Odoo (CRM/ERP). Each must be bound by a Data Processing Agreement under GDPR Article 28 - Processors, with cross-border transfers handled per GDPR Chapter V - International Transfers. The audit will check the live processor register and confirm the DPO reviewed the latest sub-processor list for each.</w:t>
      </w:r>
    </w:p>
    <w:p/>
    <w:p>
      <w:pPr>
        <w:pStyle w:val="Heading2"/>
      </w:pPr>
      <w:r>
        <w:t>When it applies</w:t>
      </w:r>
    </w:p>
    <w:p>
      <w:r>
        <w:t>Already in force. The processor's status and duties activate the moment it starts handling TRC personal data, regardless of whether a written DPA has been completed — though the absence of a DPA is itself a breach of Article 28.</w:t>
      </w:r>
    </w:p>
    <w:p>
      <w:pPr>
        <w:pStyle w:val="Heading2"/>
      </w:pPr>
      <w:r>
        <w:t>Data Subject Rights</w:t>
      </w:r>
    </w:p>
    <w:p>
      <w:pPr>
        <w:pStyle w:val="Heading1"/>
      </w:pPr>
      <w:r>
        <w:t>Data Subject Rights</w:t>
      </w:r>
    </w:p>
    <w:p/>
    <w:p>
      <w:pPr>
        <w:pStyle w:val="Heading2"/>
      </w:pPr>
      <w:r>
        <w:t>What it is (plain English)</w:t>
      </w:r>
    </w:p>
    <w:p>
      <w:r>
        <w:t>Data subject rights are the personal rights given to individuals under Articles 12 to 22 of the GDPR. They include the right to be informed, the right of access (a so-called DSAR), the rights to rectification, erasure ("right to be forgotten"), restriction of processing, data portability, objection, and not to be subject to solely automated decisions that produce legal or similarly significant effects.</w:t>
      </w:r>
    </w:p>
    <w:p/>
    <w:p>
      <w:pPr>
        <w:pStyle w:val="Heading2"/>
      </w:pPr>
      <w:r>
        <w:t>What it means for TRC</w:t>
      </w:r>
    </w:p>
    <w:p>
      <w:r>
        <w:t>TRC must be able to receive, log, and respond to a data subject request within one calendar month — typically a candidate asking what data is held in Firefish, or a client contact asking for deletion from Odoo. The audit will check that there is a documented intake channel, that the DPO owns the response template, that records of past requests exist, and that any solely automated decision-making (e.g. AI ranking of candidates) is either avoided or paired with a meaningful human review step.</w:t>
      </w:r>
    </w:p>
    <w:p/>
    <w:p>
      <w:pPr>
        <w:pStyle w:val="Heading2"/>
      </w:pPr>
      <w:r>
        <w:t>When it applies</w:t>
      </w:r>
    </w:p>
    <w:p>
      <w:r>
        <w:t>Already in force. The one-month deadline is hard, extendable by two further months only for genuinely complex or high-volume requests, with the data subject informed of any extension.</w:t>
      </w:r>
    </w:p>
    <w:p>
      <w:pPr>
        <w:pStyle w:val="Heading2"/>
      </w:pPr>
      <w:r>
        <w:t>Environment variable</w:t>
      </w:r>
    </w:p>
    <w:p>
      <w:pPr>
        <w:pStyle w:val="Heading1"/>
      </w:pPr>
      <w:r>
        <w:t>Environment variable</w:t>
      </w:r>
    </w:p>
    <w:p/>
    <w:p>
      <w:r>
        <w:t xml:space="preserve">A named setting or secret loaded by an application when it starts — for example an API key. Stored </w:t>
      </w:r>
      <w:r>
        <w:rPr>
          <w:b/>
        </w:rPr>
        <w:t>outside</w:t>
      </w:r>
      <w:r>
        <w:t xml:space="preserve"> the source code so the secret is not committed to GitHub. In TRC, environment variables live in Railway for production and in a local `.env` file for development. The `.env` file is in `.gitignore` and never committed.</w:t>
      </w:r>
    </w:p>
    <w:p>
      <w:pPr>
        <w:pStyle w:val="Heading2"/>
      </w:pPr>
      <w:r>
        <w:t>GDPR Article 28 - Processors</w:t>
      </w:r>
    </w:p>
    <w:p>
      <w:pPr>
        <w:pStyle w:val="Heading1"/>
      </w:pPr>
      <w:r>
        <w:t>GDPR Article 28 - Processors</w:t>
      </w:r>
    </w:p>
    <w:p/>
    <w:p>
      <w:pPr>
        <w:pStyle w:val="Heading2"/>
      </w:pPr>
      <w:r>
        <w:t>What it is (plain English)</w:t>
      </w:r>
    </w:p>
    <w:p>
      <w:r>
        <w:t>Article 28 of the GDPR governs the relationship between a Data Controller and a Data Processor. Whenever a controller hands personal data to a processor, the two must have a written contract — a Data Processing Agreement — that sets out the subject matter, duration, nature and purpose of processing, the type of personal data, and the controller's instructions. Article 28 also lists mandatory clauses (confidentiality, security, sub-processors, audits, return or deletion of data at the end).</w:t>
      </w:r>
    </w:p>
    <w:p/>
    <w:p>
      <w:pPr>
        <w:pStyle w:val="Heading2"/>
      </w:pPr>
      <w:r>
        <w:t>What it means for TRC</w:t>
      </w:r>
    </w:p>
    <w:p>
      <w:r>
        <w:t>Every supplier that touches TRC personal data on TRC's behalf needs an Article 28-compliant DPA on file: Anthropic, Microsoft, Railway, Firefish, Odoo, and any smaller vendor. The audit will sample the supplier register and ask to see the DPA, the sub-processor list, and evidence that TRC reviewed it. Engaging a new sub-processor without authorisation is the most common Article 28 breach.</w:t>
      </w:r>
    </w:p>
    <w:p/>
    <w:p>
      <w:pPr>
        <w:pStyle w:val="Heading2"/>
      </w:pPr>
      <w:r>
        <w:t>When it applies</w:t>
      </w:r>
    </w:p>
    <w:p>
      <w:r>
        <w:t>In force since 25 May 2018. The duty is triggered the moment TRC shares personal data with a third party that processes it on TRC's instructions.</w:t>
      </w:r>
    </w:p>
    <w:p>
      <w:pPr>
        <w:pStyle w:val="Heading2"/>
      </w:pPr>
      <w:r>
        <w:t>GDPR Article 30 - ROPA</w:t>
      </w:r>
    </w:p>
    <w:p>
      <w:pPr>
        <w:pStyle w:val="Heading1"/>
      </w:pPr>
      <w:r>
        <w:t>GDPR Article 30 - ROPA</w:t>
      </w:r>
    </w:p>
    <w:p/>
    <w:p>
      <w:pPr>
        <w:pStyle w:val="Heading2"/>
      </w:pPr>
      <w:r>
        <w:t>What it is (plain English)</w:t>
      </w:r>
    </w:p>
    <w:p>
      <w:r>
        <w:t>Article 30 requires controllers and processors to keep a written Record of Processing Activities (ROPA). For each processing activity it lists: the purpose, the categories of data subjects and personal data, the recipients (including any outside the EU), retention periods, and a general description of security measures. The under-250-employee exemption is narrow and does not apply when processing is regular, when it includes special categories, or when it can risk people's rights — which is true for almost any recruitment business.</w:t>
      </w:r>
    </w:p>
    <w:p/>
    <w:p>
      <w:pPr>
        <w:pStyle w:val="Heading2"/>
      </w:pPr>
      <w:r>
        <w:t>What it means for TRC</w:t>
      </w:r>
    </w:p>
    <w:p>
      <w:r>
        <w:t>TRC must maintain a current ROPA covering recruitment workflows, HR data, marketing, finance, and the AI-related activities that touch personal data. The audit will ask for the ROPA in its current state and check that each entry maps to a Lawful Basis, to the relevant Data Processor vendors (Firefish, Odoo, Microsoft, Anthropic, Railway), and to any international transfer documented under GDPR Chapter V - International Transfers.</w:t>
      </w:r>
    </w:p>
    <w:p/>
    <w:p>
      <w:pPr>
        <w:pStyle w:val="Heading2"/>
      </w:pPr>
      <w:r>
        <w:t>When it applies</w:t>
      </w:r>
    </w:p>
    <w:p>
      <w:r>
        <w:t>In force since 25 May 2018. In practice mandatory for TRC and must be kept current at all times.</w:t>
      </w:r>
    </w:p>
    <w:p>
      <w:pPr>
        <w:pStyle w:val="Heading2"/>
      </w:pPr>
      <w:r>
        <w:t>GDPR Article 35 - DPIA</w:t>
      </w:r>
    </w:p>
    <w:p>
      <w:pPr>
        <w:pStyle w:val="Heading1"/>
      </w:pPr>
      <w:r>
        <w:t>GDPR Article 35 - DPIA</w:t>
      </w:r>
    </w:p>
    <w:p/>
    <w:p>
      <w:pPr>
        <w:pStyle w:val="Heading2"/>
      </w:pPr>
      <w:r>
        <w:t>What it is (plain English)</w:t>
      </w:r>
    </w:p>
    <w:p>
      <w:r>
        <w:t>Article 35 of the GDPR requires a Data Protection Impact Assessment (DPIA) before any processing that is likely to result in a high risk to people's rights and freedoms. Triggers include systematic large-scale profiling, processing Special Category Data at scale, systematic monitoring of public areas, and the use of new technologies (which captures most generative AI deployments). The DPIA must describe the processing, assess necessity and proportionality, evaluate risks, and document mitigations.</w:t>
      </w:r>
    </w:p>
    <w:p/>
    <w:p>
      <w:pPr>
        <w:pStyle w:val="Heading2"/>
      </w:pPr>
      <w:r>
        <w:t>What it means for TRC</w:t>
      </w:r>
    </w:p>
    <w:p>
      <w:r>
        <w:t>TRC must run a DPIA before introducing any new AI tool that processes candidate or employee data, before any large-scale change to recruitment automation, and before adopting a new high-risk vendor. The audit will look for a DPIA register, completed DPIAs signed off by the DPO, and evidence that mitigations have actually been implemented. Where a DPIA shows residual high risk, prior consultation with the supervisory authority is required.</w:t>
      </w:r>
    </w:p>
    <w:p/>
    <w:p>
      <w:pPr>
        <w:pStyle w:val="Heading2"/>
      </w:pPr>
      <w:r>
        <w:t>When it applies</w:t>
      </w:r>
    </w:p>
    <w:p>
      <w:r>
        <w:t>In force since 25 May 2018. The duty is triggered before any new high-risk processing begins, not after.</w:t>
      </w:r>
    </w:p>
    <w:p>
      <w:pPr>
        <w:pStyle w:val="Heading2"/>
      </w:pPr>
      <w:r>
        <w:t>GDPR Chapter V - International Transfers</w:t>
      </w:r>
    </w:p>
    <w:p>
      <w:pPr>
        <w:pStyle w:val="Heading1"/>
      </w:pPr>
      <w:r>
        <w:t>GDPR Chapter V - International Transfers</w:t>
      </w:r>
    </w:p>
    <w:p/>
    <w:p>
      <w:pPr>
        <w:pStyle w:val="Heading2"/>
      </w:pPr>
      <w:r>
        <w:t>What it is (plain English)</w:t>
      </w:r>
    </w:p>
    <w:p>
      <w:r>
        <w:t>Chapter V of the GDPR (Articles 44 to 49) governs transfers of personal data outside the European Economic Area. A transfer is only lawful if the destination country has an adequacy decision from the European Commission, or appropriate safeguards are in place (most commonly Standard Contractual Clauses plus a transfer impact assessment), or a narrow derogation applies. Onward transfers by a Data Processor to a sub-processor in a third country fall under the same rules.</w:t>
      </w:r>
    </w:p>
    <w:p/>
    <w:p>
      <w:pPr>
        <w:pStyle w:val="Heading2"/>
      </w:pPr>
      <w:r>
        <w:t>What it means for TRC</w:t>
      </w:r>
    </w:p>
    <w:p>
      <w:r>
        <w:t>Several TRC suppliers either are based outside the EEA or use sub-processors that are. Anthropic (US) and Microsoft (US) typically rely on the EU-US Data Privacy Framework adequacy decision plus SCCs as a fallback; Railway (US) usually requires SCCs. The audit will check that for each non-EEA recipient TRC has identified the transfer mechanism, completed a transfer impact assessment, and recorded it in the GDPR Article 30 - ROPA.</w:t>
      </w:r>
    </w:p>
    <w:p/>
    <w:p>
      <w:pPr>
        <w:pStyle w:val="Heading2"/>
      </w:pPr>
      <w:r>
        <w:t>When it applies</w:t>
      </w:r>
    </w:p>
    <w:p>
      <w:r>
        <w:t>In force since 25 May 2018. Triggered the moment personal data leaves the EEA, including by remote access from a third country.</w:t>
      </w:r>
    </w:p>
    <w:p>
      <w:pPr>
        <w:pStyle w:val="Heading2"/>
      </w:pPr>
      <w:r>
        <w:t>JSON-RPC</w:t>
      </w:r>
    </w:p>
    <w:p>
      <w:pPr>
        <w:pStyle w:val="Heading1"/>
      </w:pPr>
      <w:r>
        <w:t>JSON-RPC</w:t>
      </w:r>
    </w:p>
    <w:p/>
    <w:p>
      <w:r>
        <w:t>A way for two programs to talk over the internet by sending small structured messages. The caller sends a method name and parameters as JSON; the receiver runs the method and returns a result. Odoo uses JSON-RPC as its main external API.</w:t>
      </w:r>
    </w:p>
    <w:p>
      <w:pPr>
        <w:pStyle w:val="Heading2"/>
      </w:pPr>
      <w:r>
        <w:t>Joint Controllers</w:t>
      </w:r>
    </w:p>
    <w:p>
      <w:pPr>
        <w:pStyle w:val="Heading1"/>
      </w:pPr>
      <w:r>
        <w:t>Joint Controllers</w:t>
      </w:r>
    </w:p>
    <w:p/>
    <w:p>
      <w:pPr>
        <w:pStyle w:val="Heading2"/>
      </w:pPr>
      <w:r>
        <w:t>What it is (plain English)</w:t>
      </w:r>
    </w:p>
    <w:p>
      <w:r>
        <w:t>Joint controllers are two or more organisations that jointly determine the purposes and means of the same processing activity, as defined in Article 26 of the GDPR. They must enter into a transparent arrangement that allocates responsibilities — especially for handling Data Subject Rights requests and providing required information to individuals — and the essence of that arrangement must be made available to the data subjects.</w:t>
      </w:r>
    </w:p>
    <w:p/>
    <w:p>
      <w:pPr>
        <w:pStyle w:val="Heading2"/>
      </w:pPr>
      <w:r>
        <w:t>What it means for TRC</w:t>
      </w:r>
    </w:p>
    <w:p>
      <w:r>
        <w:t>Joint controllership can arise unexpectedly with co-marketing partners, jointly run events, or shared candidate pipelines with a sister agency. The audit will check whether any commercial partnership involving shared personal data has been classified, whether a joint-controller arrangement has been signed where the classification fits, and whether the DPO has confirmed it is not mislabelled as a simple Data Processor relationship.</w:t>
      </w:r>
    </w:p>
    <w:p/>
    <w:p>
      <w:pPr>
        <w:pStyle w:val="Heading2"/>
      </w:pPr>
      <w:r>
        <w:t>When it applies</w:t>
      </w:r>
    </w:p>
    <w:p>
      <w:r>
        <w:t>Already in force. The trigger is factual — co-decision over purposes and means — so a joint-controller arrangement must be in place before joint processing begins, not retrofitted at audit time.</w:t>
      </w:r>
    </w:p>
    <w:p>
      <w:pPr>
        <w:pStyle w:val="Heading2"/>
      </w:pPr>
      <w:r>
        <w:t>Lawful Basis</w:t>
      </w:r>
    </w:p>
    <w:p>
      <w:pPr>
        <w:pStyle w:val="Heading1"/>
      </w:pPr>
      <w:r>
        <w:t>Lawful Basis</w:t>
      </w:r>
    </w:p>
    <w:p/>
    <w:p>
      <w:pPr>
        <w:pStyle w:val="Heading2"/>
      </w:pPr>
      <w:r>
        <w:t>What it is (plain English)</w:t>
      </w:r>
    </w:p>
    <w:p>
      <w:r>
        <w:t>A lawful basis is the legal ground in Article 6 of the GDPR that allows an organisation to process personal data in the first place. The six options are consent, contract, legal obligation, vital interests, public task, and legitimate interests; one of them must be identified, documented, and communicated to the data subject before processing starts.</w:t>
      </w:r>
    </w:p>
    <w:p/>
    <w:p>
      <w:pPr>
        <w:pStyle w:val="Heading2"/>
      </w:pPr>
      <w:r>
        <w:t>What it means for TRC</w:t>
      </w:r>
    </w:p>
    <w:p>
      <w:r>
        <w:t>Each processing activity in the GDPR Article 30 - ROPA must name its lawful basis — for example, "contract" for paying a placed candidate, "legitimate interests" for sourcing passive candidates via Firefish, "consent" for marketing emails sent through Odoo. The audit will check that the basis is recorded, that the privacy notice given to candidates and clients matches it, and that legitimate-interests assessments (LIAs) exist where that basis is used.</w:t>
      </w:r>
    </w:p>
    <w:p/>
    <w:p>
      <w:pPr>
        <w:pStyle w:val="Heading2"/>
      </w:pPr>
      <w:r>
        <w:t>When it applies</w:t>
      </w:r>
    </w:p>
    <w:p>
      <w:r>
        <w:t>Already in force. The basis must be fixed before processing begins and cannot be swapped retroactively, so any new TRC workflow (new AI tool, new marketing campaign) requires the DPO to confirm the basis up front.</w:t>
      </w:r>
    </w:p>
    <w:p>
      <w:pPr>
        <w:pStyle w:val="Heading2"/>
      </w:pPr>
      <w:r>
        <w:t>Personal Data Breach</w:t>
      </w:r>
    </w:p>
    <w:p>
      <w:pPr>
        <w:pStyle w:val="Heading1"/>
      </w:pPr>
      <w:r>
        <w:t>Personal Data Breach</w:t>
      </w:r>
    </w:p>
    <w:p/>
    <w:p>
      <w:pPr>
        <w:pStyle w:val="Heading2"/>
      </w:pPr>
      <w:r>
        <w:t>What it is (plain English)</w:t>
      </w:r>
    </w:p>
    <w:p>
      <w:r>
        <w:t>A personal data breach is, in GDPR terms, "a breach of security leading to the accidental or unlawful destruction, loss, alteration, unauthorised disclosure of, or access to" personal data. It covers far more than malicious hacking — a misdirected email, a lost laptop, a misconfigured Railway environment, or an AI prompt leak can all qualify.</w:t>
      </w:r>
    </w:p>
    <w:p/>
    <w:p>
      <w:pPr>
        <w:pStyle w:val="Heading2"/>
      </w:pPr>
      <w:r>
        <w:t>What it means for TRC</w:t>
      </w:r>
    </w:p>
    <w:p>
      <w:r>
        <w:t>Under Article 33, TRC as Data Controller must notify the supervisory authority within 72 hours of becoming aware of a notifiable breach, and under Article 34 must notify affected individuals where the risk to them is high. The audit will look for a breach-response runbook owned by the DPO, a breach log (even of incidents that did not meet the notification threshold), and evidence that processors such as Anthropic, Microsoft, Railway, Firefish, and Odoo are contractually obliged to alert TRC without undue delay.</w:t>
      </w:r>
    </w:p>
    <w:p/>
    <w:p>
      <w:pPr>
        <w:pStyle w:val="Heading2"/>
      </w:pPr>
      <w:r>
        <w:t>When it applies</w:t>
      </w:r>
    </w:p>
    <w:p>
      <w:r>
        <w:t>Already in force. The 72-hour clock starts at the moment of awareness, not the moment of confirmation, so the response process must be rehearsed and ready before an incident occurs.</w:t>
      </w:r>
    </w:p>
    <w:p>
      <w:pPr>
        <w:pStyle w:val="Heading2"/>
      </w:pPr>
      <w:r>
        <w:t>Special Category Data</w:t>
      </w:r>
    </w:p>
    <w:p>
      <w:pPr>
        <w:pStyle w:val="Heading1"/>
      </w:pPr>
      <w:r>
        <w:t>Special Category Data</w:t>
      </w:r>
    </w:p>
    <w:p/>
    <w:p>
      <w:pPr>
        <w:pStyle w:val="Heading2"/>
      </w:pPr>
      <w:r>
        <w:t>What it is (plain English)</w:t>
      </w:r>
    </w:p>
    <w:p>
      <w:r>
        <w:t>Special category data is the heightened-protection class defined in Article 9 of the GDPR: racial or ethnic origin, political opinions, religious or philosophical beliefs, trade-union membership, genetic data, biometric data used for identification, health data, and data concerning a person's sex life or sexual orientation. Processing it is prohibited unless one of the specific Article 9(2) conditions is met (explicit consent, employment-law obligations, vital interests, etc.).</w:t>
      </w:r>
    </w:p>
    <w:p/>
    <w:p>
      <w:pPr>
        <w:pStyle w:val="Heading2"/>
      </w:pPr>
      <w:r>
        <w:t>What it means for TRC</w:t>
      </w:r>
    </w:p>
    <w:p>
      <w:r>
        <w:t>In a recruitment context this category appears constantly in incidental ways: health information mentioned in a candidate email, religious references in a CV, trade-union history. TRC must train staff not to capture it into Firefish or Odoo unnecessarily, must not pass it to Anthropic or other AI processors for routine drafting, and must have an Article 9(2) condition recorded where retention is genuinely required — typically employment-law obligations for placed candidates.</w:t>
      </w:r>
    </w:p>
    <w:p/>
    <w:p>
      <w:pPr>
        <w:pStyle w:val="Heading2"/>
      </w:pPr>
      <w:r>
        <w:t>When it applies</w:t>
      </w:r>
    </w:p>
    <w:p>
      <w:r>
        <w:t>Already in force. The Article 9 prohibition has applied since 25 May 2018 and the DPO should run a periodic sample audit of free-text fields in Firefish to catch accidental capture of special-category data.</w:t>
      </w:r>
    </w:p>
    <w:p>
      <w:pPr>
        <w:pStyle w:val="Heading2"/>
      </w:pPr>
      <w:r>
        <w:t>Standard Contractual Clauses</w:t>
      </w:r>
    </w:p>
    <w:p>
      <w:pPr>
        <w:pStyle w:val="Heading1"/>
      </w:pPr>
      <w:r>
        <w:t>Standard Contractual Clauses</w:t>
      </w:r>
    </w:p>
    <w:p/>
    <w:p>
      <w:pPr>
        <w:pStyle w:val="Heading2"/>
      </w:pPr>
      <w:r>
        <w:t>What it is (plain English)</w:t>
      </w:r>
    </w:p>
    <w:p>
      <w:r>
        <w:t>Standard Contractual Clauses (SCCs) are the pre-approved template contract terms published by the European Commission that organisations use to lawfully transfer personal data to countries outside the EEA. The current version is the 2021 modular SCCs, which have to be combined with a Transfer Impact Assessment that checks whether the destination country's surveillance and access regime would undermine the protection on paper.</w:t>
      </w:r>
    </w:p>
    <w:p/>
    <w:p>
      <w:pPr>
        <w:pStyle w:val="Heading2"/>
      </w:pPr>
      <w:r>
        <w:t>What it means for TRC</w:t>
      </w:r>
    </w:p>
    <w:p>
      <w:r>
        <w:t>Wherever TRC sends personal data to a non-EEA vendor that is not covered by an adequacy decision or a recognised framework (e.g. the EU-US Data Privacy Framework for certified Anthropic and Microsoft entities), an SCC-based Data Processing Agreement plus a Transfer Impact Assessment is the default safeguard. The audit will check that the right modules are picked (Module 2 controller-to-processor for most TRC cases), that annexes list the actual data categories, and that the DPO has signed off the TIA.</w:t>
      </w:r>
    </w:p>
    <w:p/>
    <w:p>
      <w:pPr>
        <w:pStyle w:val="Heading2"/>
      </w:pPr>
      <w:r>
        <w:t>When it applies</w:t>
      </w:r>
    </w:p>
    <w:p>
      <w:r>
        <w:t>Already in force. The 2021 SCCs have been mandatory since 27 December 2022 for new transfers, and TRC must use them whenever a transfer falls under GDPR Chapter V - International Transfers without an adequacy decision.</w:t>
      </w:r>
    </w:p>
    <w:p>
      <w:pPr>
        <w:pStyle w:val="Heading2"/>
      </w:pPr>
      <w:r>
        <w:t>TRC</w:t>
      </w:r>
    </w:p>
    <w:p>
      <w:pPr>
        <w:pStyle w:val="Heading1"/>
      </w:pPr>
      <w:r>
        <w:t>TRC</w:t>
      </w:r>
    </w:p>
    <w:p/>
    <w:p>
      <w:r>
        <w:rPr>
          <w:b/>
        </w:rPr>
        <w:t>The Remarkable Collective.</w:t>
      </w:r>
      <w:r>
        <w:t xml:space="preserve"> The company that owns the projects in this audit. Operates under the Governor (currently Jonathan).</w:t>
      </w:r>
    </w:p>
    <w:p>
      <w:pPr>
        <w:pStyle w:val="Heading2"/>
      </w:pPr>
      <w:r>
        <w:t>Webhook</w:t>
      </w:r>
    </w:p>
    <w:p>
      <w:pPr>
        <w:pStyle w:val="Heading1"/>
      </w:pPr>
      <w:r>
        <w:t>Webhook</w:t>
      </w:r>
    </w:p>
    <w:p/>
    <w:p>
      <w:r>
        <w:t>A web address the project exposes so an outside service (like Telegram or WhatsApp) can push events to it the moment they happen, instead of the project having to poll. The outside service must know the URL and, ideally, send a shared-secret header so the receiver can confirm the call is genuine.</w:t>
      </w:r>
    </w:p>
    <w:p>
      <w:r>
        <w:br w:type="page"/>
      </w:r>
    </w:p>
    <w:p>
      <w:pPr>
        <w:pStyle w:val="Heading1"/>
        <w:jc w:val="left"/>
      </w:pPr>
      <w:r>
        <w:t>Open Questions</w:t>
      </w:r>
    </w:p>
    <w:p>
      <w:r>
        <w:t>---</w:t>
      </w:r>
    </w:p>
    <w:p>
      <w:r>
        <w:t>type: open-questions</w:t>
      </w:r>
    </w:p>
    <w:p>
      <w:r>
        <w:t>last_updated: 2026-05-22</w:t>
      </w:r>
    </w:p>
    <w:p>
      <w:r>
        <w:t>---</w:t>
      </w:r>
    </w:p>
    <w:p/>
    <w:p>
      <w:pPr>
        <w:pStyle w:val="Heading1"/>
      </w:pPr>
      <w:r>
        <w:t>Open Questions</w:t>
      </w:r>
    </w:p>
    <w:p/>
    <w:p>
      <w:r>
        <w:rPr>
          <w:i/>
          <w:color w:val="555555"/>
        </w:rPr>
        <w:t>The **only** note humans edit. Judge Dredd carries unanswered items forward between refreshes and never silently drops them. Tick a box once the Governor has confirmed the answer in writing and filed evidence in `Compliance/Evidence/`.</w:t>
      </w:r>
    </w:p>
    <w:p/>
    <w:p>
      <w:pPr>
        <w:pStyle w:val="Heading2"/>
      </w:pPr>
      <w:r>
        <w:t>A. Governance</w:t>
      </w:r>
    </w:p>
    <w:p/>
    <w:p>
      <w:pPr>
        <w:pStyle w:val="ListBullet"/>
      </w:pPr>
      <w:r>
        <w:rPr>
          <w:b/>
        </w:rPr>
        <w:t xml:space="preserve">[ ] </w:t>
      </w:r>
      <w:r>
        <w:t>Confirm the Governor's signing email and a named backup (for incident response if Jonathan is unreachable).</w:t>
      </w:r>
    </w:p>
    <w:p>
      <w:pPr>
        <w:pStyle w:val="ListBullet"/>
      </w:pPr>
      <w:r>
        <w:rPr>
          <w:b/>
        </w:rPr>
        <w:t xml:space="preserve">[ ] </w:t>
      </w:r>
      <w:r>
        <w:t>Document the incident-response on-call path: who is paged if Sam goes down at 02:00?</w:t>
      </w:r>
    </w:p>
    <w:p>
      <w:pPr>
        <w:pStyle w:val="ListBullet"/>
      </w:pPr>
      <w:r>
        <w:rPr>
          <w:b/>
        </w:rPr>
        <w:t xml:space="preserve">[ ] </w:t>
      </w:r>
      <w:r>
        <w:t xml:space="preserve">Decide whether to appoint a </w:t>
      </w:r>
      <w:r>
        <w:rPr>
          <w:b/>
        </w:rPr>
        <w:t>DPO</w:t>
      </w:r>
      <w:r>
        <w:t xml:space="preserve"> — see `Compliance/08 Policies/DPO Assessment.md`.</w:t>
      </w:r>
    </w:p>
    <w:p>
      <w:pPr>
        <w:pStyle w:val="ListBullet"/>
      </w:pPr>
      <w:r>
        <w:rPr>
          <w:b/>
        </w:rPr>
        <w:t xml:space="preserve">[ ] </w:t>
      </w:r>
      <w:r>
        <w:t xml:space="preserve">Confirm TRC's registration / data-controller contact details with the </w:t>
      </w:r>
      <w:r>
        <w:rPr>
          <w:b/>
        </w:rPr>
        <w:t>Maltese IDPC</w:t>
      </w:r>
      <w:r>
        <w:t>.</w:t>
      </w:r>
    </w:p>
    <w:p/>
    <w:p>
      <w:pPr>
        <w:pStyle w:val="Heading2"/>
      </w:pPr>
      <w:r>
        <w:t>B. EU AI Act — Sam classification</w:t>
      </w:r>
    </w:p>
    <w:p/>
    <w:p>
      <w:pPr>
        <w:pStyle w:val="ListBullet"/>
      </w:pPr>
      <w:r>
        <w:rPr>
          <w:b/>
        </w:rPr>
        <w:t xml:space="preserve">[ ] </w:t>
      </w:r>
      <w:r>
        <w:rPr>
          <w:b/>
        </w:rPr>
        <w:t>Confirm Sam's risk classification.</w:t>
      </w:r>
      <w:r>
        <w:t xml:space="preserve"> If Sam materially assists in candidate selection, performance review, or work-allocation decisions, it is </w:t>
      </w:r>
      <w:r>
        <w:rPr>
          <w:b/>
        </w:rPr>
        <w:t>high-risk under Annex III §4</w:t>
      </w:r>
      <w:r>
        <w:t xml:space="preserve"> and the full Article 26 stack applies. The Governor must record this decision and the reasoning in `Compliance/02 AI System Register/Sam.md`.</w:t>
      </w:r>
    </w:p>
    <w:p>
      <w:pPr>
        <w:pStyle w:val="ListBullet"/>
      </w:pPr>
      <w:r>
        <w:rPr>
          <w:b/>
        </w:rPr>
        <w:t xml:space="preserve">[ ] </w:t>
      </w:r>
      <w:r>
        <w:t xml:space="preserve">Set Railway log retention to </w:t>
      </w:r>
      <w:r>
        <w:rPr>
          <w:b/>
        </w:rPr>
        <w:t>≥ 6 months</w:t>
      </w:r>
      <w:r>
        <w:t xml:space="preserve"> (AI Act Art. 26(6)) and capture the configuration screenshot.</w:t>
      </w:r>
    </w:p>
    <w:p>
      <w:pPr>
        <w:pStyle w:val="ListBullet"/>
      </w:pPr>
      <w:r>
        <w:rPr>
          <w:b/>
        </w:rPr>
        <w:t xml:space="preserve">[ ] </w:t>
      </w:r>
      <w:r>
        <w:t>Sign and serve the Worker Notification to Beverly and to any worker whose data Sam reads (AI Act Art. 26(7)).</w:t>
      </w:r>
    </w:p>
    <w:p>
      <w:pPr>
        <w:pStyle w:val="ListBullet"/>
      </w:pPr>
      <w:r>
        <w:rPr>
          <w:b/>
        </w:rPr>
        <w:t xml:space="preserve">[ ] </w:t>
      </w:r>
      <w:r>
        <w:t xml:space="preserve">Embed the AI Transparency Notice in Sam's Telegram and WhatsApp first-message flow </w:t>
      </w:r>
      <w:r>
        <w:rPr>
          <w:b/>
        </w:rPr>
        <w:t>before 2 August 2026</w:t>
      </w:r>
      <w:r>
        <w:t xml:space="preserve"> (AI Act Art. 50).</w:t>
      </w:r>
    </w:p>
    <w:p>
      <w:pPr>
        <w:pStyle w:val="ListBullet"/>
      </w:pPr>
      <w:r>
        <w:rPr>
          <w:b/>
        </w:rPr>
        <w:t xml:space="preserve">[ ] </w:t>
      </w:r>
      <w:r>
        <w:t>Complete the AI Literacy Programme training for Jonathan and Beverly and file the records (AI Act Art. 4 — already in force).</w:t>
      </w:r>
    </w:p>
    <w:p>
      <w:pPr>
        <w:pStyle w:val="ListBullet"/>
      </w:pPr>
      <w:r>
        <w:rPr>
          <w:b/>
        </w:rPr>
        <w:t xml:space="preserve">[ ] </w:t>
      </w:r>
      <w:r>
        <w:t>Complete the DPIA for Sam (`Compliance/03 DPIAs/Sam.md`).</w:t>
      </w:r>
    </w:p>
    <w:p/>
    <w:p>
      <w:pPr>
        <w:pStyle w:val="Heading2"/>
      </w:pPr>
      <w:r>
        <w:t>C. GDPR — processors and transfers</w:t>
      </w:r>
    </w:p>
    <w:p/>
    <w:p>
      <w:pPr>
        <w:pStyle w:val="ListBullet"/>
      </w:pPr>
      <w:r>
        <w:rPr>
          <w:b/>
        </w:rPr>
        <w:t xml:space="preserve">[ ] </w:t>
      </w:r>
      <w:r>
        <w:t>Confirm a signed DPA exists with each processor in `Compliance/05 Processors and DPAs/Register.md`. Drop each PDF into `Compliance/Evidence/`.</w:t>
      </w:r>
    </w:p>
    <w:p>
      <w:pPr>
        <w:pStyle w:val="ListBullet"/>
      </w:pPr>
      <w:r>
        <w:rPr>
          <w:b/>
        </w:rPr>
        <w:t xml:space="preserve">[ ] </w:t>
      </w:r>
      <w:r>
        <w:t>Clarify Firefish controller/processor split in writing.</w:t>
      </w:r>
    </w:p>
    <w:p>
      <w:pPr>
        <w:pStyle w:val="ListBullet"/>
      </w:pPr>
      <w:r>
        <w:rPr>
          <w:b/>
        </w:rPr>
        <w:t xml:space="preserve">[ ] </w:t>
      </w:r>
      <w:r>
        <w:t xml:space="preserve">Confirm which specific Anthropic and Microsoft legal entities TRC contracts with, and which appear on the active </w:t>
      </w:r>
      <w:r>
        <w:rPr>
          <w:b/>
        </w:rPr>
        <w:t>EU-US Data Privacy Framework</w:t>
      </w:r>
      <w:r>
        <w:t xml:space="preserve"> list — vs which are covered by SCCs only.</w:t>
      </w:r>
    </w:p>
    <w:p>
      <w:pPr>
        <w:pStyle w:val="ListBullet"/>
      </w:pPr>
      <w:r>
        <w:rPr>
          <w:b/>
        </w:rPr>
        <w:t xml:space="preserve">[ ] </w:t>
      </w:r>
      <w:r>
        <w:t>Confirm Railway transfer mechanism (DPF vs SCCs in its DPA) against Railway's current DPA.</w:t>
      </w:r>
    </w:p>
    <w:p>
      <w:pPr>
        <w:pStyle w:val="ListBullet"/>
      </w:pPr>
      <w:r>
        <w:rPr>
          <w:b/>
        </w:rPr>
        <w:t xml:space="preserve">[ ] </w:t>
      </w:r>
      <w:r>
        <w:t>Document the Telegram DPA gap and Governor's residual-risk decision.</w:t>
      </w:r>
    </w:p>
    <w:p>
      <w:pPr>
        <w:pStyle w:val="ListBullet"/>
      </w:pPr>
      <w:r>
        <w:rPr>
          <w:b/>
        </w:rPr>
        <w:t xml:space="preserve">[ ] </w:t>
      </w:r>
      <w:r>
        <w:t>Complete Transfer Impact Assessments for Anthropic, Microsoft, Railway, Telegram, Meta WhatsApp.</w:t>
      </w:r>
    </w:p>
    <w:p/>
    <w:p>
      <w:pPr>
        <w:pStyle w:val="Heading2"/>
      </w:pPr>
      <w:r>
        <w:t>D. GDPR — processing activities</w:t>
      </w:r>
    </w:p>
    <w:p/>
    <w:p>
      <w:pPr>
        <w:pStyle w:val="ListBullet"/>
      </w:pPr>
      <w:r>
        <w:rPr>
          <w:b/>
        </w:rPr>
        <w:t xml:space="preserve">[ ] </w:t>
      </w:r>
      <w:r>
        <w:t>Confirm Sam's lawful basis for processing data of TRC workers other than Beverly (default proposed: Article 6(1)(f) legitimate interests).</w:t>
      </w:r>
    </w:p>
    <w:p>
      <w:pPr>
        <w:pStyle w:val="ListBullet"/>
      </w:pPr>
      <w:r>
        <w:rPr>
          <w:b/>
        </w:rPr>
        <w:t xml:space="preserve">[ ] </w:t>
      </w:r>
      <w:r>
        <w:t>Confirm the lawful basis on which Firefish candidate data was originally collected, and whether reading by Sam stays within that basis.</w:t>
      </w:r>
    </w:p>
    <w:p>
      <w:pPr>
        <w:pStyle w:val="ListBullet"/>
      </w:pPr>
      <w:r>
        <w:rPr>
          <w:b/>
        </w:rPr>
        <w:t xml:space="preserve">[ ] </w:t>
      </w:r>
      <w:r>
        <w:t>Audit whether Special Category Data (Art. 9 GDPR) flows through Sam — and if so, what Article 9 basis applies.</w:t>
      </w:r>
    </w:p>
    <w:p>
      <w:pPr>
        <w:pStyle w:val="ListBullet"/>
      </w:pPr>
      <w:r>
        <w:rPr>
          <w:b/>
        </w:rPr>
        <w:t xml:space="preserve">[ ] </w:t>
      </w:r>
      <w:r>
        <w:t>Confirm Anthropic prompt/response retention setting (target: zero retention).</w:t>
      </w:r>
    </w:p>
    <w:p/>
    <w:p>
      <w:pPr>
        <w:pStyle w:val="Heading2"/>
      </w:pPr>
      <w:r>
        <w:t>E. Data subjects and rights</w:t>
      </w:r>
    </w:p>
    <w:p/>
    <w:p>
      <w:pPr>
        <w:pStyle w:val="ListBullet"/>
      </w:pPr>
      <w:r>
        <w:rPr>
          <w:b/>
        </w:rPr>
        <w:t xml:space="preserve">[ ] </w:t>
      </w:r>
      <w:r>
        <w:t xml:space="preserve">Publish a </w:t>
      </w:r>
      <w:r>
        <w:rPr>
          <w:b/>
        </w:rPr>
        <w:t>privacy notice</w:t>
      </w:r>
      <w:r>
        <w:t xml:space="preserve"> (Arts. 13-14 GDPR) covering Sam's processing — distinct from the AI-transparency notice.</w:t>
      </w:r>
    </w:p>
    <w:p>
      <w:pPr>
        <w:pStyle w:val="ListBullet"/>
      </w:pPr>
      <w:r>
        <w:rPr>
          <w:b/>
        </w:rPr>
        <w:t xml:space="preserve">[ ] </w:t>
      </w:r>
      <w:r>
        <w:t>Tabletop exercise the incident-response procedure within 6 months.</w:t>
      </w:r>
    </w:p>
    <w:p>
      <w:pPr>
        <w:pStyle w:val="ListBullet"/>
      </w:pPr>
      <w:r>
        <w:rPr>
          <w:b/>
        </w:rPr>
        <w:t xml:space="preserve">[ ] </w:t>
      </w:r>
      <w:r>
        <w:t>Tabletop exercise the data-subject-rights procedure.</w:t>
      </w:r>
    </w:p>
    <w:p/>
    <w:p>
      <w:pPr>
        <w:pStyle w:val="Heading2"/>
      </w:pPr>
      <w:r>
        <w:t>F. Scoping notes carried from research</w:t>
      </w:r>
    </w:p>
    <w:p/>
    <w:p>
      <w:pPr>
        <w:pStyle w:val="ListBullet"/>
      </w:pPr>
      <w:r>
        <w:rPr>
          <w:b/>
        </w:rPr>
        <w:t xml:space="preserve">[ ] </w:t>
      </w:r>
      <w:r>
        <w:t xml:space="preserve">Confirm in writing that </w:t>
      </w:r>
      <w:r>
        <w:rPr>
          <w:b/>
        </w:rPr>
        <w:t>FRIA</w:t>
      </w:r>
      <w:r>
        <w:t xml:space="preserve"> does not apply to TRC (private SME, not a public body or essential-service deployer). Document non-applicability in `Compliance/03 DPIAs/`.</w:t>
      </w:r>
    </w:p>
    <w:p>
      <w:pPr>
        <w:pStyle w:val="ListBullet"/>
      </w:pPr>
      <w:r>
        <w:rPr>
          <w:b/>
        </w:rPr>
        <w:t xml:space="preserve">[ ] </w:t>
      </w:r>
      <w:r>
        <w:t xml:space="preserve">Confirm </w:t>
      </w:r>
      <w:r>
        <w:rPr>
          <w:b/>
        </w:rPr>
        <w:t>NIS2</w:t>
      </w:r>
      <w:r>
        <w:t xml:space="preserve"> non-applicability with the Maltese cybersecurity authority and document the finding.</w:t>
      </w:r>
    </w:p>
    <w:p>
      <w:pPr>
        <w:pStyle w:val="ListBullet"/>
      </w:pPr>
      <w:r>
        <w:rPr>
          <w:b/>
        </w:rPr>
        <w:t xml:space="preserve">[ ] </w:t>
      </w:r>
      <w:r>
        <w:t xml:space="preserve">Confirm whether TRC ever acts as a </w:t>
      </w:r>
      <w:r>
        <w:rPr>
          <w:b/>
        </w:rPr>
        <w:t>provider</w:t>
      </w:r>
      <w:r>
        <w:t xml:space="preserve"> of synthetic content under AI Act Art. 50(2) — if no, that obligation does not apply to TRC; document.</w:t>
      </w:r>
    </w:p>
    <w:p/>
    <w:p>
      <w:pPr>
        <w:pStyle w:val="Heading2"/>
      </w:pPr>
      <w:r>
        <w:t>G. Out of scope</w:t>
      </w:r>
    </w:p>
    <w:p/>
    <w:p>
      <w:pPr>
        <w:pStyle w:val="ListBullet"/>
      </w:pPr>
      <w:r>
        <w:rPr>
          <w:b/>
        </w:rPr>
        <w:t xml:space="preserve">[ ] </w:t>
      </w:r>
      <w:r>
        <w:t xml:space="preserve">Confirm in writing that </w:t>
      </w:r>
      <w:r>
        <w:rPr>
          <w:b/>
        </w:rPr>
        <w:t>Alfred / Polymarket</w:t>
      </w:r>
      <w:r>
        <w:t xml:space="preserve"> is permanently out of scope for this audit programme. Re-affirm at every annual review.</w:t>
      </w:r>
    </w:p>
    <w:p>
      <w:r>
        <w:br w:type="page"/>
      </w:r>
    </w:p>
    <w:p>
      <w:pPr>
        <w:pStyle w:val="Heading1"/>
        <w:jc w:val="left"/>
      </w:pPr>
      <w:r>
        <w:t>Change Log</w:t>
      </w:r>
    </w:p>
    <w:p>
      <w:r>
        <w:t>---</w:t>
      </w:r>
    </w:p>
    <w:p>
      <w:r>
        <w:t>type: change-log</w:t>
      </w:r>
    </w:p>
    <w:p>
      <w:r>
        <w:t>---</w:t>
      </w:r>
    </w:p>
    <w:p/>
    <w:p>
      <w:pPr>
        <w:pStyle w:val="Heading1"/>
      </w:pPr>
      <w:r>
        <w:t>Change Log</w:t>
      </w:r>
    </w:p>
    <w:p/>
    <w:p>
      <w:r>
        <w:rPr>
          <w:i/>
          <w:color w:val="555555"/>
        </w:rPr>
        <w:t>One line per audit refresh. Most recent on top. Appended by Judge Dredd.</w:t>
      </w:r>
    </w:p>
    <w:p/>
    <w:p>
      <w:pPr>
        <w:pStyle w:val="ListBullet"/>
      </w:pPr>
      <w:r>
        <w:rPr>
          <w:b/>
        </w:rPr>
        <w:t>2026-05-22</w:t>
      </w:r>
      <w:r>
        <w:t xml:space="preserve"> — EU compliance scaffolding added: AI System Register, ROPA, DPIA template, International Transfer Register, Processor and DPA register, Incident procedure and register, Data Subject Rights procedure and register, Policies (Data Protection, Acceptable AI Use, AI Literacy, Vendor Management, Records Retention, DPO Assessment), Notices (AI Transparency, Worker Notification). 21 EU regulatory concept notes added to `Concepts/`. Sam classified as candidate Annex III §4 high-risk pending Governor confirmation. Alfred re-confirmed out of scope.</w:t>
      </w:r>
    </w:p>
    <w:p>
      <w:pPr>
        <w:pStyle w:val="ListBullet"/>
      </w:pPr>
      <w:r>
        <w:rPr>
          <w:b/>
        </w:rPr>
        <w:t>2026-05-22</w:t>
      </w:r>
      <w:r>
        <w:t xml:space="preserve"> — Audit framework created. Governor confirmed. No projects audited yet. Alfred declared out of scope.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