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D434" w14:textId="6BA258C9" w:rsidR="001C56D2" w:rsidRPr="00C82E91" w:rsidRDefault="00C82E91">
      <w:pPr>
        <w:jc w:val="center"/>
        <w:rPr>
          <w:b/>
          <w:bCs/>
          <w:i/>
          <w:iCs/>
          <w:sz w:val="48"/>
          <w:szCs w:val="48"/>
        </w:rPr>
      </w:pPr>
      <w:r w:rsidRPr="00C82E91">
        <w:rPr>
          <w:b/>
          <w:bCs/>
          <w:i/>
          <w:iCs/>
          <w:sz w:val="48"/>
          <w:szCs w:val="48"/>
        </w:rPr>
        <w:t>MediTrust AI</w:t>
      </w:r>
    </w:p>
    <w:p w14:paraId="4A391C09" w14:textId="77777777" w:rsidR="00C82E91" w:rsidRDefault="00C82E91">
      <w:pPr>
        <w:rPr>
          <w:b/>
        </w:rPr>
      </w:pPr>
    </w:p>
    <w:p w14:paraId="18F9AE64" w14:textId="7398DBE7" w:rsidR="001C56D2" w:rsidRDefault="00000000">
      <w:r>
        <w:rPr>
          <w:b/>
        </w:rPr>
        <w:t>1. Team Details</w:t>
      </w:r>
    </w:p>
    <w:p w14:paraId="3DA3E5D8" w14:textId="20340085" w:rsidR="001C56D2" w:rsidRDefault="00000000">
      <w:r>
        <w:t xml:space="preserve">Team Name: </w:t>
      </w:r>
      <w:r w:rsidR="00C82E91">
        <w:t xml:space="preserve"> Out Of Funds</w:t>
      </w:r>
    </w:p>
    <w:p w14:paraId="41C95BC0" w14:textId="122BAF60" w:rsidR="00C82E91" w:rsidRDefault="00000000">
      <w:r>
        <w:t>Team Members:</w:t>
      </w:r>
      <w:r w:rsidR="00C82E91">
        <w:t xml:space="preserve">  1) Sarthak </w:t>
      </w:r>
      <w:proofErr w:type="gramStart"/>
      <w:r w:rsidR="00C82E91">
        <w:t>Rastogi(</w:t>
      </w:r>
      <w:proofErr w:type="gramEnd"/>
      <w:r w:rsidR="00C82E91">
        <w:t>RA2311026010862)</w:t>
      </w:r>
    </w:p>
    <w:p w14:paraId="0EE2B14D" w14:textId="291DFA04" w:rsidR="00C82E91" w:rsidRDefault="00C82E91">
      <w:r>
        <w:t xml:space="preserve">2) Utpal </w:t>
      </w:r>
      <w:proofErr w:type="gramStart"/>
      <w:r>
        <w:t>Raj( RA</w:t>
      </w:r>
      <w:proofErr w:type="gramEnd"/>
      <w:r>
        <w:t>2311056010003)</w:t>
      </w:r>
    </w:p>
    <w:p w14:paraId="3056C80E" w14:textId="5089D15A" w:rsidR="00C82E91" w:rsidRDefault="00C82E91">
      <w:r>
        <w:t xml:space="preserve">3) Naysa </w:t>
      </w:r>
      <w:proofErr w:type="gramStart"/>
      <w:r>
        <w:t>Madrele(</w:t>
      </w:r>
      <w:proofErr w:type="gramEnd"/>
      <w:r>
        <w:t>RA2311026010801)</w:t>
      </w:r>
    </w:p>
    <w:p w14:paraId="30BB2624" w14:textId="32B69250" w:rsidR="001C56D2" w:rsidRDefault="00C82E91">
      <w:r>
        <w:t xml:space="preserve">4) Keshav </w:t>
      </w:r>
      <w:proofErr w:type="gramStart"/>
      <w:r>
        <w:t>Tripathi(</w:t>
      </w:r>
      <w:proofErr w:type="gramEnd"/>
      <w:r>
        <w:t>RA2311026010818)</w:t>
      </w:r>
    </w:p>
    <w:p w14:paraId="16B30F05" w14:textId="77777777" w:rsidR="001C56D2" w:rsidRDefault="00000000">
      <w:r>
        <w:rPr>
          <w:b/>
        </w:rPr>
        <w:t>2. Problem Understanding and Scope</w:t>
      </w:r>
    </w:p>
    <w:p w14:paraId="6E53E16B" w14:textId="77777777" w:rsidR="001C56D2" w:rsidRDefault="00000000">
      <w:r>
        <w:rPr>
          <w:b/>
        </w:rPr>
        <w:t>Problem Statement (in your own words):</w:t>
      </w:r>
    </w:p>
    <w:p w14:paraId="22FBC554" w14:textId="1325A82B" w:rsidR="001C56D2" w:rsidRDefault="00000000">
      <w:r>
        <w:t xml:space="preserve">Healthcare workflows rely on semi‑structured, scanned documents such as prescriptions, discharge summaries, consent forms, insurance claims, and lab reports. </w:t>
      </w:r>
      <w:proofErr w:type="gramStart"/>
      <w:r>
        <w:t>These carry</w:t>
      </w:r>
      <w:proofErr w:type="gramEnd"/>
      <w:r>
        <w:t xml:space="preserve"> linked visual data: a mixture of printed text, handwritten content, stamps, QR/barcodes, and</w:t>
      </w:r>
      <w:r w:rsidR="007C5D52">
        <w:t xml:space="preserve"> </w:t>
      </w:r>
      <w:r>
        <w:t>critically</w:t>
      </w:r>
      <w:r w:rsidR="007C5D52">
        <w:t xml:space="preserve"> </w:t>
      </w:r>
      <w:r>
        <w:t>handwritten signatures. Sharing such documents across pharmacies, insurers, referrals, or research introduces privacy and fraud risks. The challenge is to automatically detect and protect personally identifiable information (</w:t>
      </w:r>
      <w:proofErr w:type="gramStart"/>
      <w:r>
        <w:t xml:space="preserve">PII) </w:t>
      </w:r>
      <w:r w:rsidR="007C5D52">
        <w:t xml:space="preserve"> </w:t>
      </w:r>
      <w:r>
        <w:t>particularly</w:t>
      </w:r>
      <w:proofErr w:type="gramEnd"/>
      <w:r>
        <w:t xml:space="preserve"> signatures</w:t>
      </w:r>
      <w:r w:rsidR="007C5D52">
        <w:t xml:space="preserve"> </w:t>
      </w:r>
      <w:r>
        <w:t>while preserving clinical content and enabling authenticity checks. Here, “linked visual data” means any document where textual and visual cues together convey identity or authorization (e.g., signatures beside names/stamps).</w:t>
      </w:r>
    </w:p>
    <w:p w14:paraId="2FCDD9F2" w14:textId="77777777" w:rsidR="001C56D2" w:rsidRDefault="00000000">
      <w:r>
        <w:rPr>
          <w:b/>
        </w:rPr>
        <w:t>Target Documents &amp; Formats:</w:t>
      </w:r>
    </w:p>
    <w:p w14:paraId="072ED5C2" w14:textId="77777777" w:rsidR="001C56D2" w:rsidRDefault="00000000">
      <w:r>
        <w:t>• Prescriptions, consent forms, discharge summaries, referral letters, insurance claim forms, lab reports.</w:t>
      </w:r>
    </w:p>
    <w:p w14:paraId="2ACB39D6" w14:textId="77777777" w:rsidR="001C56D2" w:rsidRDefault="00000000">
      <w:r>
        <w:t>• Scanned PDFs (multi‑page), TIFF, JPEG/PNG; camera captures of paper documents.</w:t>
      </w:r>
    </w:p>
    <w:p w14:paraId="51768FB9" w14:textId="77777777" w:rsidR="001C56D2" w:rsidRDefault="00000000">
      <w:r>
        <w:rPr>
          <w:b/>
        </w:rPr>
        <w:t>Types of Identifiable Data (PII) to Detect &amp; Redact:</w:t>
      </w:r>
    </w:p>
    <w:p w14:paraId="4C7482E6" w14:textId="77777777" w:rsidR="001C56D2" w:rsidRDefault="00000000">
      <w:r>
        <w:t>• Handwritten signatures (patient/attendant/doctor), initials, and countersignatures.</w:t>
      </w:r>
    </w:p>
    <w:p w14:paraId="2CCE9177" w14:textId="77777777" w:rsidR="001C56D2" w:rsidRDefault="00000000">
      <w:r>
        <w:t>• Patient identifiers: name, date of birth/age, medical record number (MRN), phone/email, address.</w:t>
      </w:r>
    </w:p>
    <w:p w14:paraId="0BAF48E4" w14:textId="77777777" w:rsidR="001C56D2" w:rsidRDefault="00000000">
      <w:r>
        <w:t>• Government IDs (e.g., Aadhaar/SSN), policy numbers, UHID, insurance IDs.</w:t>
      </w:r>
    </w:p>
    <w:p w14:paraId="5E8C1151" w14:textId="77777777" w:rsidR="001C56D2" w:rsidRDefault="00000000">
      <w:r>
        <w:t>• Doctor identifiers: name/registration number when required to be hidden in sharable copies.</w:t>
      </w:r>
    </w:p>
    <w:p w14:paraId="3E813CFF" w14:textId="77777777" w:rsidR="001C56D2" w:rsidRDefault="00000000">
      <w:r>
        <w:lastRenderedPageBreak/>
        <w:t>• Faces in embedded photos, hospital stamps/seals, barcodes/QR codes carrying identifiers.</w:t>
      </w:r>
    </w:p>
    <w:p w14:paraId="7F0DE40A" w14:textId="77777777" w:rsidR="001C56D2" w:rsidRDefault="00000000">
      <w:r>
        <w:t>• Dates and geo-markers when policy requires temporal deidentification.</w:t>
      </w:r>
    </w:p>
    <w:p w14:paraId="52F258EE" w14:textId="77777777" w:rsidR="001C56D2" w:rsidRDefault="00000000">
      <w:r>
        <w:rPr>
          <w:b/>
        </w:rPr>
        <w:t>User Personas / End Users:</w:t>
      </w:r>
    </w:p>
    <w:p w14:paraId="364A81B2" w14:textId="77777777" w:rsidR="001C56D2" w:rsidRDefault="00000000">
      <w:r>
        <w:t>• Hospital HIM/Compliance teams and medical records departments.</w:t>
      </w:r>
    </w:p>
    <w:p w14:paraId="635E5E55" w14:textId="77777777" w:rsidR="001C56D2" w:rsidRDefault="00000000">
      <w:r>
        <w:t>• Clinicians and referral coordinators sharing inter-facility records.</w:t>
      </w:r>
    </w:p>
    <w:p w14:paraId="3655C676" w14:textId="77777777" w:rsidR="001C56D2" w:rsidRDefault="00000000">
      <w:r>
        <w:t>• Insurance TPAs and fraud investigation units processing claims.</w:t>
      </w:r>
    </w:p>
    <w:p w14:paraId="13AB5FB5" w14:textId="77777777" w:rsidR="001C56D2" w:rsidRDefault="00000000">
      <w:r>
        <w:t>• Clinical research/ethics committees, trial sites, and data managers.</w:t>
      </w:r>
    </w:p>
    <w:p w14:paraId="30835721" w14:textId="77777777" w:rsidR="001C56D2" w:rsidRDefault="00000000">
      <w:r>
        <w:t>• E‑health platforms, healthtech startups, diagnostic labs, and pharmacies.</w:t>
      </w:r>
    </w:p>
    <w:p w14:paraId="39B2658E" w14:textId="77777777" w:rsidR="001C56D2" w:rsidRDefault="00000000">
      <w:r>
        <w:rPr>
          <w:b/>
        </w:rPr>
        <w:t>3. Proposed Solution &amp; Approach</w:t>
      </w:r>
    </w:p>
    <w:p w14:paraId="0BEEC6E4" w14:textId="77777777" w:rsidR="001C56D2" w:rsidRDefault="00000000">
      <w:pPr>
        <w:rPr>
          <w:b/>
        </w:rPr>
      </w:pPr>
      <w:r>
        <w:rPr>
          <w:b/>
        </w:rPr>
        <w:t>High‑Level Architecture (with Diagram):</w:t>
      </w:r>
    </w:p>
    <w:p w14:paraId="5161E1E8" w14:textId="77777777" w:rsidR="007C5D52" w:rsidRDefault="00C82E91">
      <w:r w:rsidRPr="00C82E91">
        <w:rPr>
          <w:noProof/>
        </w:rPr>
        <w:drawing>
          <wp:inline distT="0" distB="0" distL="0" distR="0" wp14:anchorId="3451EF5E" wp14:editId="4F3EE4E6">
            <wp:extent cx="5486400" cy="2590165"/>
            <wp:effectExtent l="0" t="0" r="0" b="635"/>
            <wp:docPr id="112546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9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Processing flow description: 1) Ingest PDF/image </w:t>
      </w:r>
    </w:p>
    <w:p w14:paraId="4DE95E14" w14:textId="77777777" w:rsidR="007C5D52" w:rsidRDefault="00C82E91">
      <w:r>
        <w:t xml:space="preserve"> 2) Preprocess (deskew, denoise, binarize) </w:t>
      </w:r>
    </w:p>
    <w:p w14:paraId="62B3794D" w14:textId="77777777" w:rsidR="007C5D52" w:rsidRDefault="00C82E91">
      <w:r>
        <w:t xml:space="preserve"> 3) OCR &amp; layout parsing </w:t>
      </w:r>
    </w:p>
    <w:p w14:paraId="68CF0202" w14:textId="77777777" w:rsidR="007C5D52" w:rsidRDefault="00C82E91">
      <w:r>
        <w:t xml:space="preserve">4) Signature/stamp/QR detection </w:t>
      </w:r>
    </w:p>
    <w:p w14:paraId="64B40FBE" w14:textId="77777777" w:rsidR="007C5D52" w:rsidRDefault="00C82E91">
      <w:r>
        <w:t xml:space="preserve"> 5) Context‑aware role classification (patient vs doctor) </w:t>
      </w:r>
    </w:p>
    <w:p w14:paraId="711E81C1" w14:textId="77777777" w:rsidR="007C5D52" w:rsidRDefault="00C82E91">
      <w:r>
        <w:t xml:space="preserve"> 6) Policy engine applies redaction/verification </w:t>
      </w:r>
    </w:p>
    <w:p w14:paraId="6250C52F" w14:textId="6BFD57CF" w:rsidR="001C56D2" w:rsidRDefault="00C82E91">
      <w:r>
        <w:t>7) Generate privacy‑safe PDF + logs.</w:t>
      </w:r>
    </w:p>
    <w:p w14:paraId="4FA98A4B" w14:textId="77777777" w:rsidR="001C56D2" w:rsidRDefault="00000000">
      <w:r>
        <w:rPr>
          <w:b/>
        </w:rPr>
        <w:t>AI/ML Models Considered:</w:t>
      </w:r>
    </w:p>
    <w:p w14:paraId="362B4081" w14:textId="77777777" w:rsidR="001C56D2" w:rsidRDefault="00000000">
      <w:r>
        <w:lastRenderedPageBreak/>
        <w:t>• Signature detection: YOLOv8/Faster R‑CNN fine‑tuned on SignVerOD (</w:t>
      </w:r>
      <w:proofErr w:type="spellStart"/>
      <w:r>
        <w:t>victordibia</w:t>
      </w:r>
      <w:proofErr w:type="spellEnd"/>
      <w:r>
        <w:t>/</w:t>
      </w:r>
      <w:proofErr w:type="spellStart"/>
      <w:r>
        <w:t>signverod</w:t>
      </w:r>
      <w:proofErr w:type="spellEnd"/>
      <w:r>
        <w:t>).</w:t>
      </w:r>
    </w:p>
    <w:p w14:paraId="345665DD" w14:textId="77777777" w:rsidR="001C56D2" w:rsidRDefault="00000000">
      <w:r>
        <w:t>• Layout understanding: LayoutLMv3 or Donut for region/section semantics; layoutparser for heuristics.</w:t>
      </w:r>
    </w:p>
    <w:p w14:paraId="718E9052" w14:textId="77777777" w:rsidR="001C56D2" w:rsidRDefault="00000000">
      <w:r>
        <w:t>• OCR: Tesseract or PaddleOCR with multilingual packs (for Indian regional scripts if needed).</w:t>
      </w:r>
    </w:p>
    <w:p w14:paraId="05438D1C" w14:textId="77777777" w:rsidR="001C56D2" w:rsidRDefault="00000000">
      <w:r>
        <w:t>• Signature verification (optional): Siamese CNN embeddings for intra‑doctor matching when enabled.</w:t>
      </w:r>
    </w:p>
    <w:p w14:paraId="0B890D45" w14:textId="77777777" w:rsidR="001C56D2" w:rsidRDefault="00000000">
      <w:r>
        <w:t xml:space="preserve">• Stamp/face/QR: classical CV (OpenCV), </w:t>
      </w:r>
      <w:proofErr w:type="spellStart"/>
      <w:r>
        <w:t>ZXing</w:t>
      </w:r>
      <w:proofErr w:type="spellEnd"/>
      <w:r>
        <w:t xml:space="preserve"> for bar/QR decoding; lightweight face detector (e.g., </w:t>
      </w:r>
      <w:proofErr w:type="spellStart"/>
      <w:r>
        <w:t>RetinaFace</w:t>
      </w:r>
      <w:proofErr w:type="spellEnd"/>
      <w:r>
        <w:t>).</w:t>
      </w:r>
    </w:p>
    <w:p w14:paraId="23CEB5FB" w14:textId="77777777" w:rsidR="001C56D2" w:rsidRDefault="00000000">
      <w:r>
        <w:t xml:space="preserve">• PII text NER (optional): </w:t>
      </w:r>
      <w:proofErr w:type="spellStart"/>
      <w:r>
        <w:t>spaCy</w:t>
      </w:r>
      <w:proofErr w:type="spellEnd"/>
      <w:r>
        <w:t xml:space="preserve"> / </w:t>
      </w:r>
      <w:proofErr w:type="spellStart"/>
      <w:r>
        <w:t>HuggingFace</w:t>
      </w:r>
      <w:proofErr w:type="spellEnd"/>
      <w:r>
        <w:t xml:space="preserve"> transformers (</w:t>
      </w:r>
      <w:proofErr w:type="spellStart"/>
      <w:r>
        <w:t>ClinicalBERT</w:t>
      </w:r>
      <w:proofErr w:type="spellEnd"/>
      <w:r>
        <w:t>/</w:t>
      </w:r>
      <w:proofErr w:type="spellStart"/>
      <w:r>
        <w:t>BioBERT</w:t>
      </w:r>
      <w:proofErr w:type="spellEnd"/>
      <w:r>
        <w:t>) for textual identifiers.</w:t>
      </w:r>
    </w:p>
    <w:p w14:paraId="4C283493" w14:textId="77777777" w:rsidR="001C56D2" w:rsidRDefault="00000000">
      <w:r>
        <w:rPr>
          <w:b/>
        </w:rPr>
        <w:t>Data Strategy:</w:t>
      </w:r>
    </w:p>
    <w:p w14:paraId="3D75D5CD" w14:textId="77777777" w:rsidR="001C56D2" w:rsidRDefault="00000000">
      <w:r>
        <w:t>• Train signature localization on SignVerOD; hold‑out set for robust evaluation.</w:t>
      </w:r>
    </w:p>
    <w:p w14:paraId="6C97F09D" w14:textId="77777777" w:rsidR="001C56D2" w:rsidRDefault="00000000">
      <w:r>
        <w:t>• Augment with document transforms: scaling, rotation/deskew, compression artifacts, ink bleed, low‑light/phone captures.</w:t>
      </w:r>
    </w:p>
    <w:p w14:paraId="1BF69A65" w14:textId="77777777" w:rsidR="001C56D2" w:rsidRDefault="00000000">
      <w:r>
        <w:t>• Synthetic overlays for stamps/seals/QRs and randomized patient/doctor text to expand coverage.</w:t>
      </w:r>
    </w:p>
    <w:p w14:paraId="5E8DC2C5" w14:textId="77777777" w:rsidR="001C56D2" w:rsidRDefault="00000000">
      <w:r>
        <w:t>• Human‑in‑the‑loop review via Label Studio/</w:t>
      </w:r>
      <w:proofErr w:type="spellStart"/>
      <w:r>
        <w:t>Doccano</w:t>
      </w:r>
      <w:proofErr w:type="spellEnd"/>
      <w:r>
        <w:t>; active learning to prioritize uncertain detections.</w:t>
      </w:r>
    </w:p>
    <w:p w14:paraId="7F75F49A" w14:textId="77777777" w:rsidR="001C56D2" w:rsidRDefault="00000000">
      <w:r>
        <w:t xml:space="preserve">• Evaluation: </w:t>
      </w:r>
      <w:proofErr w:type="spellStart"/>
      <w:r>
        <w:t>mAP</w:t>
      </w:r>
      <w:proofErr w:type="spellEnd"/>
      <w:r>
        <w:t xml:space="preserve"> for detection; precision/recall on redaction accuracy; latency on CPU‑only inference.</w:t>
      </w:r>
    </w:p>
    <w:p w14:paraId="6B35AD81" w14:textId="77777777" w:rsidR="001C56D2" w:rsidRDefault="00000000">
      <w:r>
        <w:rPr>
          <w:b/>
        </w:rPr>
        <w:t>Innovation / Unique Selling Point (USP):</w:t>
      </w:r>
    </w:p>
    <w:p w14:paraId="054E2DEB" w14:textId="77777777" w:rsidR="001C56D2" w:rsidRDefault="00000000">
      <w:r>
        <w:t>• Role‑aware signature handling: distinguish patient vs doctor signature by page region, nearby keywords, and layout.</w:t>
      </w:r>
    </w:p>
    <w:p w14:paraId="2344542F" w14:textId="77777777" w:rsidR="001C56D2" w:rsidRDefault="00000000">
      <w:r>
        <w:t>• Privacy‑first defaults: automatic redaction of patient signatures; configurable policies for doctor signatures.</w:t>
      </w:r>
    </w:p>
    <w:p w14:paraId="0F5E5150" w14:textId="77777777" w:rsidR="001C56D2" w:rsidRDefault="00000000">
      <w:r>
        <w:t>• MediTrust Score: per‑document confidence score combining detection certainty, policy compliance, and OCR sanity checks.</w:t>
      </w:r>
    </w:p>
    <w:p w14:paraId="3062336B" w14:textId="77777777" w:rsidR="001C56D2" w:rsidRDefault="00000000">
      <w:r>
        <w:t>• Edge‑ready: runs offline/on‑prem with no third‑party data egress; modular pipeline with CLI/API/UI.</w:t>
      </w:r>
    </w:p>
    <w:p w14:paraId="425B630B" w14:textId="77777777" w:rsidR="001C56D2" w:rsidRDefault="00000000">
      <w:r>
        <w:rPr>
          <w:b/>
        </w:rPr>
        <w:t>4. Proposed Solution &amp; Approach</w:t>
      </w:r>
    </w:p>
    <w:p w14:paraId="46F3684D" w14:textId="77777777" w:rsidR="001C56D2" w:rsidRDefault="00000000">
      <w:r>
        <w:rPr>
          <w:b/>
        </w:rPr>
        <w:lastRenderedPageBreak/>
        <w:t>Intended UI/UX Design (if applicable):</w:t>
      </w:r>
    </w:p>
    <w:p w14:paraId="02F51A82" w14:textId="77777777" w:rsidR="001C56D2" w:rsidRDefault="00000000">
      <w:r>
        <w:t>• Drag‑and‑drop web UI (or desktop) to upload PDFs/images; batch processing queue with progress.</w:t>
      </w:r>
    </w:p>
    <w:p w14:paraId="10069A1D" w14:textId="77777777" w:rsidR="001C56D2" w:rsidRDefault="00000000">
      <w:r>
        <w:t>• Preview pane shows detections (bounding boxes) and redaction result; one‑click accept/correct.</w:t>
      </w:r>
    </w:p>
    <w:p w14:paraId="6852F671" w14:textId="77777777" w:rsidR="001C56D2" w:rsidRDefault="00000000">
      <w:r>
        <w:t>• Policy selector: choose presets (Research share, Insurance share, Inter‑hospital referral).</w:t>
      </w:r>
    </w:p>
    <w:p w14:paraId="51C54ED3" w14:textId="77777777" w:rsidR="001C56D2" w:rsidRDefault="00000000">
      <w:r>
        <w:t>• Download: privacy‑safe PDF + machine‑readable JSON log of redactions and confidence scores.</w:t>
      </w:r>
    </w:p>
    <w:p w14:paraId="196DE592" w14:textId="77777777" w:rsidR="001C56D2" w:rsidRDefault="00000000">
      <w:r>
        <w:rPr>
          <w:b/>
        </w:rPr>
        <w:t>Input &amp; Output Format Expectations:</w:t>
      </w:r>
    </w:p>
    <w:p w14:paraId="280CE19D" w14:textId="77777777" w:rsidR="001C56D2" w:rsidRDefault="00000000">
      <w:r>
        <w:t>• Input: PDF (single/multi‑page), TIFF, JPEG/PNG; 150–300 DPI recommended; accepts phone photos.</w:t>
      </w:r>
    </w:p>
    <w:p w14:paraId="11381A22" w14:textId="77777777" w:rsidR="001C56D2" w:rsidRDefault="00000000">
      <w:r>
        <w:t>• Output: Redacted PDF/images; optional sidecar JSON with bounding boxes, classes, confidences, and policy applied.</w:t>
      </w:r>
    </w:p>
    <w:p w14:paraId="304F3284" w14:textId="77777777" w:rsidR="001C56D2" w:rsidRDefault="00000000">
      <w:r>
        <w:t xml:space="preserve">• Performance targets (MVP): ≥0.8 </w:t>
      </w:r>
      <w:proofErr w:type="spellStart"/>
      <w:r>
        <w:t>mAP</w:t>
      </w:r>
      <w:proofErr w:type="spellEnd"/>
      <w:r>
        <w:t xml:space="preserve"> on signature detection; &lt;2s/page on CPU; reproducible CLI + REST API.</w:t>
      </w:r>
    </w:p>
    <w:p w14:paraId="6951B337" w14:textId="77777777" w:rsidR="001C56D2" w:rsidRDefault="00000000">
      <w:r>
        <w:rPr>
          <w:b/>
        </w:rPr>
        <w:t>Accessibility / Ease of Use Considerations:</w:t>
      </w:r>
    </w:p>
    <w:p w14:paraId="7E5526D5" w14:textId="77777777" w:rsidR="001C56D2" w:rsidRDefault="00000000">
      <w:r>
        <w:t>• Multilingual OCR packs for Indian/English documents; UI labels in English + localizable strings.</w:t>
      </w:r>
    </w:p>
    <w:p w14:paraId="23BFC220" w14:textId="77777777" w:rsidR="001C56D2" w:rsidRDefault="00000000">
      <w:r>
        <w:t>• Color‑blind safe annotations and large‑text mode; keyboard shortcuts for reviewers.</w:t>
      </w:r>
    </w:p>
    <w:p w14:paraId="0E870C23" w14:textId="77777777" w:rsidR="001C56D2" w:rsidRDefault="00000000">
      <w:r>
        <w:t>• Works fully offline for compliance (HIPAA/GDPR/DPDP) with on‑prem deployment option.</w:t>
      </w:r>
    </w:p>
    <w:p w14:paraId="6DE94B44" w14:textId="77777777" w:rsidR="001C56D2" w:rsidRDefault="00000000">
      <w:r>
        <w:t>• Export templates aligned to insurer/research ethics committee submission formats.</w:t>
      </w:r>
    </w:p>
    <w:sectPr w:rsidR="001C56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81921">
    <w:abstractNumId w:val="8"/>
  </w:num>
  <w:num w:numId="2" w16cid:durableId="251938543">
    <w:abstractNumId w:val="6"/>
  </w:num>
  <w:num w:numId="3" w16cid:durableId="1586764036">
    <w:abstractNumId w:val="5"/>
  </w:num>
  <w:num w:numId="4" w16cid:durableId="204829587">
    <w:abstractNumId w:val="4"/>
  </w:num>
  <w:num w:numId="5" w16cid:durableId="1728727086">
    <w:abstractNumId w:val="7"/>
  </w:num>
  <w:num w:numId="6" w16cid:durableId="40448687">
    <w:abstractNumId w:val="3"/>
  </w:num>
  <w:num w:numId="7" w16cid:durableId="932587175">
    <w:abstractNumId w:val="2"/>
  </w:num>
  <w:num w:numId="8" w16cid:durableId="568225272">
    <w:abstractNumId w:val="1"/>
  </w:num>
  <w:num w:numId="9" w16cid:durableId="205942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6D2"/>
    <w:rsid w:val="0029639D"/>
    <w:rsid w:val="00326F90"/>
    <w:rsid w:val="007C5D52"/>
    <w:rsid w:val="00AA1D8D"/>
    <w:rsid w:val="00B47730"/>
    <w:rsid w:val="00B6263C"/>
    <w:rsid w:val="00C36C28"/>
    <w:rsid w:val="00C82E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734C"/>
  <w14:defaultImageDpi w14:val="300"/>
  <w15:docId w15:val="{6CEB7684-41D4-4E06-BAF6-3DBAC3E8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rastogi</cp:lastModifiedBy>
  <cp:revision>3</cp:revision>
  <dcterms:created xsi:type="dcterms:W3CDTF">2013-12-23T23:15:00Z</dcterms:created>
  <dcterms:modified xsi:type="dcterms:W3CDTF">2025-08-17T17:50:00Z</dcterms:modified>
  <cp:category/>
</cp:coreProperties>
</file>