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63"/>
          <w:sz w:val="48"/>
        </w:rPr>
        <w:t>Avail Sourcing Engine</w:t>
      </w:r>
    </w:p>
    <w:p>
      <w:pPr>
        <w:jc w:val="center"/>
      </w:pPr>
      <w:r>
        <w:rPr>
          <w:color w:val="4C6585"/>
          <w:sz w:val="32"/>
        </w:rPr>
        <w:t>Planning Blueprint &amp; Cursor Handoff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CE6F1"/>
            <w:vAlign w:val="center"/>
          </w:tcPr>
          <w:p>
            <w:r>
              <w:t>Purpose</w:t>
            </w:r>
          </w:p>
        </w:tc>
        <w:tc>
          <w:tcPr>
            <w:tcW w:type="dxa" w:w="6624"/>
            <w:vAlign w:val="center"/>
          </w:tcPr>
          <w:p>
            <w:r>
              <w:t>Generate explainable supplier leads for buyers to follow up and verify stock.</w:t>
            </w:r>
          </w:p>
        </w:tc>
      </w:tr>
      <w:tr>
        <w:tc>
          <w:tcPr>
            <w:tcW w:type="dxa" w:w="2592"/>
            <w:shd w:fill="DCE6F1"/>
            <w:vAlign w:val="center"/>
          </w:tcPr>
          <w:p>
            <w:r>
              <w:t>Core model</w:t>
            </w:r>
          </w:p>
        </w:tc>
        <w:tc>
          <w:tcPr>
            <w:tcW w:type="dxa" w:w="6624"/>
            <w:vAlign w:val="center"/>
          </w:tcPr>
          <w:p>
            <w:r>
              <w:t>One lead per vendor per part, with many evidence items.</w:t>
            </w:r>
          </w:p>
        </w:tc>
      </w:tr>
      <w:tr>
        <w:tc>
          <w:tcPr>
            <w:tcW w:type="dxa" w:w="2592"/>
            <w:shd w:fill="DCE6F1"/>
            <w:vAlign w:val="center"/>
          </w:tcPr>
          <w:p>
            <w:r>
              <w:t>Scoring</w:t>
            </w:r>
          </w:p>
        </w:tc>
        <w:tc>
          <w:tcPr>
            <w:tcW w:type="dxa" w:w="6624"/>
            <w:vAlign w:val="center"/>
          </w:tcPr>
          <w:p>
            <w:r>
              <w:t>Separate Lead Confidence from Vendor Safety.</w:t>
            </w:r>
          </w:p>
        </w:tc>
      </w:tr>
      <w:tr>
        <w:tc>
          <w:tcPr>
            <w:tcW w:type="dxa" w:w="2592"/>
            <w:shd w:fill="DCE6F1"/>
            <w:vAlign w:val="center"/>
          </w:tcPr>
          <w:p>
            <w:r>
              <w:t>Bundle contents</w:t>
            </w:r>
          </w:p>
        </w:tc>
        <w:tc>
          <w:tcPr>
            <w:tcW w:type="dxa" w:w="6624"/>
            <w:vAlign w:val="center"/>
          </w:tcPr>
          <w:p>
            <w:r>
              <w:t>Planning doc, schemas, wireframes, prompts, QA, and decisions.</w:t>
            </w:r>
          </w:p>
        </w:tc>
      </w:tr>
    </w:tbl>
    <w:p/>
    <w:p>
      <w:pPr/>
      <w:r>
        <w:t>This document is intended to preserve product intent and reduce ambiguity during handoff to Cursor or an implementation team.</w:t>
      </w:r>
    </w:p>
    <w:p>
      <w:r>
        <w:br w:type="page"/>
      </w:r>
    </w:p>
    <w:p>
      <w:pPr>
        <w:pStyle w:val="Heading1"/>
      </w:pPr>
      <w:r>
        <w:t>Overview</w:t>
      </w:r>
    </w:p>
    <w:p>
      <w:pPr/>
      <w:r>
        <w:rPr>
          <w:b/>
        </w:rPr>
        <w:t xml:space="preserve">Purpose: </w:t>
      </w:r>
      <w:r>
        <w:t>Build a sourcing engine that helps purchasing agents find, prioritize, and safely evaluate vendor leads to contact and verify stock availability.</w:t>
      </w:r>
    </w:p>
    <w:p>
      <w:pPr/>
      <w:r>
        <w:rPr>
          <w:b/>
        </w:rPr>
        <w:t xml:space="preserve">Primary users: </w:t>
      </w:r>
      <w:r>
        <w:t>Purchasing agents, sourcing managers, and operations/admin reviewers.</w:t>
      </w:r>
    </w:p>
    <w:p>
      <w:pPr/>
      <w:r>
        <w:rPr>
          <w:b/>
        </w:rPr>
        <w:t xml:space="preserve">Success definition: </w:t>
      </w:r>
      <w:r>
        <w:t>A smaller number of strong, explainable leads that reduce manual search time and improve verified-stock follow-up rates.</w:t>
      </w:r>
    </w:p>
    <w:p>
      <w:pPr>
        <w:pStyle w:val="Heading1"/>
      </w:pPr>
      <w:r>
        <w:t>Product Principles</w:t>
      </w:r>
    </w:p>
    <w:p>
      <w:pPr/>
      <w:r>
        <w:rPr>
          <w:b/>
        </w:rPr>
        <w:t xml:space="preserve">Explainability over mystery: </w:t>
      </w:r>
      <w:r>
        <w:t>Every lead must show why it exists, what sources support it, and how fresh the evidence is.</w:t>
      </w:r>
    </w:p>
    <w:p>
      <w:pPr/>
      <w:r>
        <w:rPr>
          <w:b/>
        </w:rPr>
        <w:t xml:space="preserve">Buyer usefulness over lead volume: </w:t>
      </w:r>
      <w:r>
        <w:t>A few strong, actionable leads are better than many weak ones.</w:t>
      </w:r>
    </w:p>
    <w:p>
      <w:pPr/>
      <w:r>
        <w:rPr>
          <w:b/>
        </w:rPr>
        <w:t xml:space="preserve">Human review remains central: </w:t>
      </w:r>
      <w:r>
        <w:t>The system helps a buyer decide; it does not replace buyer judgment.</w:t>
      </w:r>
    </w:p>
    <w:p>
      <w:pPr/>
      <w:r>
        <w:rPr>
          <w:b/>
        </w:rPr>
        <w:t xml:space="preserve">Preserve source attribution: </w:t>
      </w:r>
      <w:r>
        <w:t>Every merged lead must retain its source history and evidence.</w:t>
      </w:r>
    </w:p>
    <w:p>
      <w:pPr>
        <w:pStyle w:val="Heading1"/>
      </w:pPr>
      <w:r>
        <w:t>Core Domain Model</w:t>
      </w:r>
    </w:p>
    <w:p>
      <w:pPr/>
      <w:r>
        <w:rPr>
          <w:b/>
        </w:rPr>
        <w:t xml:space="preserve">Lead definition: </w:t>
      </w:r>
      <w:r>
        <w:t>One lead equals one vendor for one part. A lead may aggregate many evidence items from many sources.</w:t>
      </w:r>
    </w:p>
    <w:p>
      <w:pPr/>
      <w:r>
        <w:rPr>
          <w:b/>
        </w:rPr>
        <w:t xml:space="preserve">Evidence definition: </w:t>
      </w:r>
      <w:r>
        <w:t>One evidence item equals one signal that supports or weakens a lead. Evidence should be attributable, time-stamped, and human-readable.</w:t>
      </w:r>
    </w:p>
    <w:p>
      <w:pPr>
        <w:pStyle w:val="Heading2"/>
      </w:pPr>
      <w:r>
        <w:t>Lead Schema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Category</w:t>
            </w:r>
          </w:p>
        </w:tc>
        <w:tc>
          <w:tcPr>
            <w:tcW w:type="dxa" w:w="3408"/>
            <w:shd w:fill="D9EAF7"/>
          </w:tcPr>
          <w:p>
            <w:r>
              <w:t>Key fields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Identity</w:t>
            </w:r>
          </w:p>
        </w:tc>
        <w:tc>
          <w:tcPr>
            <w:tcW w:type="dxa" w:w="3408"/>
            <w:vAlign w:val="center"/>
          </w:tcPr>
          <w:p>
            <w:r>
              <w:t>lead_id, part_number_requested, vendor_name, vendor_name_normalized, match_type</w:t>
            </w:r>
          </w:p>
        </w:tc>
        <w:tc>
          <w:tcPr>
            <w:tcW w:type="dxa" w:w="3408"/>
            <w:vAlign w:val="center"/>
          </w:tcPr>
          <w:p>
            <w:r>
              <w:t>Represent one vendor opportunity for one part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summary</w:t>
            </w:r>
          </w:p>
        </w:tc>
        <w:tc>
          <w:tcPr>
            <w:tcW w:type="dxa" w:w="3408"/>
            <w:vAlign w:val="center"/>
          </w:tcPr>
          <w:p>
            <w:r>
              <w:t>primary_source_type, primary_source_name, source_reference, source_first_seen_at, source_last_seen_at</w:t>
            </w:r>
          </w:p>
        </w:tc>
        <w:tc>
          <w:tcPr>
            <w:tcW w:type="dxa" w:w="3408"/>
            <w:vAlign w:val="center"/>
          </w:tcPr>
          <w:p>
            <w:r>
              <w:t>Preserve origin and freshness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Buyer usefulness</w:t>
            </w:r>
          </w:p>
        </w:tc>
        <w:tc>
          <w:tcPr>
            <w:tcW w:type="dxa" w:w="3408"/>
            <w:vAlign w:val="center"/>
          </w:tcPr>
          <w:p>
            <w:r>
              <w:t>contact_name, contact_email, contact_phone, contact_url, location, suggested_next_action</w:t>
            </w:r>
          </w:p>
        </w:tc>
        <w:tc>
          <w:tcPr>
            <w:tcW w:type="dxa" w:w="3408"/>
            <w:vAlign w:val="center"/>
          </w:tcPr>
          <w:p>
            <w:r>
              <w:t>Help buyers act quickly</w:t>
            </w:r>
          </w:p>
        </w:tc>
      </w:tr>
      <w:tr>
        <w:tc>
          <w:tcPr>
            <w:tcW w:type="dxa" w:w="3408"/>
            <w:vAlign w:val="center"/>
          </w:tcPr>
          <w:p>
            <w:r>
              <w:t>Lead confidence</w:t>
            </w:r>
          </w:p>
        </w:tc>
        <w:tc>
          <w:tcPr>
            <w:tcW w:type="dxa" w:w="3408"/>
            <w:vAlign w:val="center"/>
          </w:tcPr>
          <w:p>
            <w:r>
              <w:t>confidence_score, confidence_band, freshness_score, source_reliability_score, contactability_score, historical_success_score</w:t>
            </w:r>
          </w:p>
        </w:tc>
        <w:tc>
          <w:tcPr>
            <w:tcW w:type="dxa" w:w="3408"/>
            <w:vAlign w:val="center"/>
          </w:tcPr>
          <w:p>
            <w:r>
              <w:t>Rank outreach 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Explainability</w:t>
            </w:r>
          </w:p>
        </w:tc>
        <w:tc>
          <w:tcPr>
            <w:tcW w:type="dxa" w:w="3408"/>
            <w:vAlign w:val="center"/>
          </w:tcPr>
          <w:p>
            <w:r>
              <w:t>reason_summary, risk_flags, evidence_count, corroborated</w:t>
            </w:r>
          </w:p>
        </w:tc>
        <w:tc>
          <w:tcPr>
            <w:tcW w:type="dxa" w:w="3408"/>
            <w:vAlign w:val="center"/>
          </w:tcPr>
          <w:p>
            <w:r>
              <w:t>Show why the lead exists</w:t>
            </w:r>
          </w:p>
        </w:tc>
      </w:tr>
      <w:tr>
        <w:tc>
          <w:tcPr>
            <w:tcW w:type="dxa" w:w="3408"/>
            <w:vAlign w:val="center"/>
          </w:tcPr>
          <w:p>
            <w:r>
              <w:t>Vendor safety</w:t>
            </w:r>
          </w:p>
        </w:tc>
        <w:tc>
          <w:tcPr>
            <w:tcW w:type="dxa" w:w="3408"/>
            <w:vAlign w:val="center"/>
          </w:tcPr>
          <w:p>
            <w:r>
              <w:t>vendor_safety_score, vendor_safety_band, vendor_safety_summary, vendor_safety_flags</w:t>
            </w:r>
          </w:p>
        </w:tc>
        <w:tc>
          <w:tcPr>
            <w:tcW w:type="dxa" w:w="3408"/>
            <w:vAlign w:val="center"/>
          </w:tcPr>
          <w:p>
            <w:r>
              <w:t>Warn buyers about risk</w:t>
            </w:r>
          </w:p>
        </w:tc>
      </w:tr>
      <w:tr>
        <w:tc>
          <w:tcPr>
            <w:tcW w:type="dxa" w:w="3408"/>
            <w:vAlign w:val="center"/>
          </w:tcPr>
          <w:p>
            <w:r>
              <w:t>Workflow</w:t>
            </w:r>
          </w:p>
        </w:tc>
        <w:tc>
          <w:tcPr>
            <w:tcW w:type="dxa" w:w="3408"/>
            <w:vAlign w:val="center"/>
          </w:tcPr>
          <w:p>
            <w:r>
              <w:t>buyer_status, buyer_owner_user_id, last_buyer_action_at, buyer_feedback_summary</w:t>
            </w:r>
          </w:p>
        </w:tc>
        <w:tc>
          <w:tcPr>
            <w:tcW w:type="dxa" w:w="3408"/>
            <w:vAlign w:val="center"/>
          </w:tcPr>
          <w:p>
            <w:r>
              <w:t>Support follow-up and learning</w:t>
            </w:r>
          </w:p>
        </w:tc>
      </w:tr>
    </w:tbl>
    <w:p/>
    <w:p>
      <w:pPr>
        <w:pStyle w:val="Heading2"/>
      </w:pPr>
      <w:r>
        <w:t>Evidence Schema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7F1FB"/>
          </w:tcPr>
          <w:p>
            <w:r>
              <w:t>Category</w:t>
            </w:r>
          </w:p>
        </w:tc>
        <w:tc>
          <w:tcPr>
            <w:tcW w:type="dxa" w:w="3408"/>
            <w:shd w:fill="E7F1FB"/>
          </w:tcPr>
          <w:p>
            <w:r>
              <w:t>Key fields</w:t>
            </w:r>
          </w:p>
        </w:tc>
        <w:tc>
          <w:tcPr>
            <w:tcW w:type="dxa" w:w="3408"/>
            <w:shd w:fill="E7F1FB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Identity</w:t>
            </w:r>
          </w:p>
        </w:tc>
        <w:tc>
          <w:tcPr>
            <w:tcW w:type="dxa" w:w="3408"/>
            <w:vAlign w:val="center"/>
          </w:tcPr>
          <w:p>
            <w:r>
              <w:t>evidence_id, lead_id</w:t>
            </w:r>
          </w:p>
        </w:tc>
        <w:tc>
          <w:tcPr>
            <w:tcW w:type="dxa" w:w="3408"/>
            <w:vAlign w:val="center"/>
          </w:tcPr>
          <w:p>
            <w:r>
              <w:t>Attach multiple signals to one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signal_type, source_type, source_name, source_reference</w:t>
            </w:r>
          </w:p>
        </w:tc>
        <w:tc>
          <w:tcPr>
            <w:tcW w:type="dxa" w:w="3408"/>
            <w:vAlign w:val="center"/>
          </w:tcPr>
          <w:p>
            <w:r>
              <w:t>Capture where the signal came from</w:t>
            </w:r>
          </w:p>
        </w:tc>
      </w:tr>
      <w:tr>
        <w:tc>
          <w:tcPr>
            <w:tcW w:type="dxa" w:w="3408"/>
            <w:vAlign w:val="center"/>
          </w:tcPr>
          <w:p>
            <w:r>
              <w:t>Observed details</w:t>
            </w:r>
          </w:p>
        </w:tc>
        <w:tc>
          <w:tcPr>
            <w:tcW w:type="dxa" w:w="3408"/>
            <w:vAlign w:val="center"/>
          </w:tcPr>
          <w:p>
            <w:r>
              <w:t>part_number_observed, vendor_name_observed, observed_text, observed_at, freshness_age_days</w:t>
            </w:r>
          </w:p>
        </w:tc>
        <w:tc>
          <w:tcPr>
            <w:tcW w:type="dxa" w:w="3408"/>
            <w:vAlign w:val="center"/>
          </w:tcPr>
          <w:p>
            <w:r>
              <w:t>Record what was seen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Scoring contribution</w:t>
            </w:r>
          </w:p>
        </w:tc>
        <w:tc>
          <w:tcPr>
            <w:tcW w:type="dxa" w:w="3408"/>
            <w:vAlign w:val="center"/>
          </w:tcPr>
          <w:p>
            <w:r>
              <w:t>weight, confidence_impact, explanation</w:t>
            </w:r>
          </w:p>
        </w:tc>
        <w:tc>
          <w:tcPr>
            <w:tcW w:type="dxa" w:w="3408"/>
            <w:vAlign w:val="center"/>
          </w:tcPr>
          <w:p>
            <w:r>
              <w:t>Keep scoring explainable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t>source_reliability_band, verification_state</w:t>
            </w:r>
          </w:p>
        </w:tc>
        <w:tc>
          <w:tcPr>
            <w:tcW w:type="dxa" w:w="3408"/>
            <w:vAlign w:val="center"/>
          </w:tcPr>
          <w:p>
            <w:r>
              <w:t>Differentiate raw vs buyer-confirmed signals</w:t>
            </w:r>
          </w:p>
        </w:tc>
      </w:tr>
    </w:tbl>
    <w:p>
      <w:r>
        <w:br w:type="page"/>
      </w:r>
    </w:p>
    <w:p>
      <w:pPr>
        <w:pStyle w:val="Heading1"/>
      </w:pPr>
      <w:r>
        <w:t>Source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Source</w:t>
            </w:r>
          </w:p>
        </w:tc>
        <w:tc>
          <w:tcPr>
            <w:tcW w:type="dxa" w:w="2045"/>
            <w:shd w:fill="D9EAF7"/>
          </w:tcPr>
          <w:p>
            <w:r>
              <w:t>Best use</w:t>
            </w:r>
          </w:p>
        </w:tc>
        <w:tc>
          <w:tcPr>
            <w:tcW w:type="dxa" w:w="2045"/>
            <w:shd w:fill="D9EAF7"/>
          </w:tcPr>
          <w:p>
            <w:r>
              <w:t>Stock-confidence contribution</w:t>
            </w:r>
          </w:p>
        </w:tc>
        <w:tc>
          <w:tcPr>
            <w:tcW w:type="dxa" w:w="2045"/>
            <w:shd w:fill="D9EAF7"/>
          </w:tcPr>
          <w:p>
            <w:r>
              <w:t>Safety contribution</w:t>
            </w:r>
          </w:p>
        </w:tc>
        <w:tc>
          <w:tcPr>
            <w:tcW w:type="dxa" w:w="2045"/>
            <w:shd w:fill="D9EAF7"/>
          </w:tcPr>
          <w:p>
            <w: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 / posting sources</w:t>
            </w:r>
          </w:p>
        </w:tc>
        <w:tc>
          <w:tcPr>
            <w:tcW w:type="dxa" w:w="2045"/>
            <w:vAlign w:val="center"/>
          </w:tcPr>
          <w:p>
            <w:r>
              <w:t>Direct stock-likelihood and freshness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Listing presence does not equal confirmed stock</w:t>
            </w:r>
          </w:p>
        </w:tc>
      </w:tr>
      <w:tr>
        <w:tc>
          <w:tcPr>
            <w:tcW w:type="dxa" w:w="2045"/>
            <w:vAlign w:val="center"/>
          </w:tcPr>
          <w:p>
            <w:r>
              <w:t>ICSource / NetComponents</w:t>
            </w:r>
          </w:p>
        </w:tc>
        <w:tc>
          <w:tcPr>
            <w:tcW w:type="dxa" w:w="2045"/>
            <w:vAlign w:val="center"/>
          </w:tcPr>
          <w:p>
            <w:r>
              <w:t>Part-specific discovery and corroboration</w:t>
            </w:r>
          </w:p>
        </w:tc>
        <w:tc>
          <w:tcPr>
            <w:tcW w:type="dxa" w:w="2045"/>
            <w:vAlign w:val="center"/>
          </w:tcPr>
          <w:p>
            <w:r>
              <w:t>Medium-high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Freshness and legitimacy vary by vendor/listing</w:t>
            </w:r>
          </w:p>
        </w:tc>
      </w:tr>
      <w:tr>
        <w:tc>
          <w:tcPr>
            <w:tcW w:type="dxa" w:w="2045"/>
            <w:vAlign w:val="center"/>
          </w:tcPr>
          <w:p>
            <w:r>
              <w:t>Salesforce history</w:t>
            </w:r>
          </w:p>
        </w:tc>
        <w:tc>
          <w:tcPr>
            <w:tcW w:type="dxa" w:w="2045"/>
            <w:vAlign w:val="center"/>
          </w:tcPr>
          <w:p>
            <w:r>
              <w:t>Relationship memory and contact enrichment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Great for trust, weaker for current stock proof</w:t>
            </w:r>
          </w:p>
        </w:tc>
      </w:tr>
      <w:tr>
        <w:tc>
          <w:tcPr>
            <w:tcW w:type="dxa" w:w="2045"/>
            <w:vAlign w:val="center"/>
          </w:tcPr>
          <w:p>
            <w:r>
              <w:t>Avail internal history</w:t>
            </w:r>
          </w:p>
        </w:tc>
        <w:tc>
          <w:tcPr>
            <w:tcW w:type="dxa" w:w="2045"/>
            <w:vAlign w:val="center"/>
          </w:tcPr>
          <w:p>
            <w:r>
              <w:t>Internal sourcing memory and buyer learning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Useful for prioritization and feedback loops</w:t>
            </w:r>
          </w:p>
        </w:tc>
      </w:tr>
      <w:tr>
        <w:tc>
          <w:tcPr>
            <w:tcW w:type="dxa" w:w="2045"/>
            <w:vAlign w:val="center"/>
          </w:tcPr>
          <w:p>
            <w:r>
              <w:t>AI/current web search</w:t>
            </w:r>
          </w:p>
        </w:tc>
        <w:tc>
          <w:tcPr>
            <w:tcW w:type="dxa" w:w="2045"/>
            <w:vAlign w:val="center"/>
          </w:tcPr>
          <w:p>
            <w:r>
              <w:t>Discovery, enrichment, safety review</w:t>
            </w:r>
          </w:p>
        </w:tc>
        <w:tc>
          <w:tcPr>
            <w:tcW w:type="dxa" w:w="2045"/>
            <w:vAlign w:val="center"/>
          </w:tcPr>
          <w:p>
            <w:r>
              <w:t>Low-medium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Do not let weak web evidence outrank stronger direct evidence</w:t>
            </w:r>
          </w:p>
        </w:tc>
      </w:tr>
    </w:tbl>
    <w:p>
      <w:pPr>
        <w:pStyle w:val="Heading1"/>
      </w:pPr>
      <w:r>
        <w:t>Scoring Model</w:t>
      </w:r>
    </w:p>
    <w:p>
      <w:pPr/>
      <w:r>
        <w:t>Use two separate scoring streams:</w:t>
      </w:r>
    </w:p>
    <w:p>
      <w:pPr>
        <w:pStyle w:val="ListBullet"/>
      </w:pPr>
      <w:r>
        <w:t>Lead Confidence — how likely the vendor may currently have stock</w:t>
      </w:r>
    </w:p>
    <w:p>
      <w:pPr>
        <w:pStyle w:val="ListBullet"/>
      </w:pPr>
      <w:r>
        <w:t>Vendor Safety — how comfortable the buyer should feel contacting or relying on the vendor</w:t>
      </w:r>
    </w:p>
    <w:p>
      <w:pPr>
        <w:pStyle w:val="Heading2"/>
      </w:pPr>
      <w:r>
        <w:t>Lead-confidence factors</w:t>
      </w:r>
    </w:p>
    <w:p>
      <w:pPr>
        <w:pStyle w:val="ListBullet"/>
      </w:pPr>
      <w:r>
        <w:t>Positive: trusted source, exact/normalized part match, recent signal, multiple-source corroboration, historical vendor success, usable contact information, prior buyer-confirmed good outcomes</w:t>
      </w:r>
    </w:p>
    <w:p>
      <w:pPr>
        <w:pStyle w:val="ListBullet"/>
      </w:pPr>
      <w:r>
        <w:t>Negative: stale signal, fuzzy-only match, no contact path, low-trust source, repeated bad-lead outcomes, repeated no-stock outcomes</w:t>
      </w:r>
    </w:p>
    <w:p>
      <w:pPr>
        <w:pStyle w:val="Heading2"/>
      </w:pPr>
      <w:r>
        <w:t>Vendor-safety factors</w:t>
      </w:r>
    </w:p>
    <w:p>
      <w:pPr>
        <w:pStyle w:val="ListBullet"/>
      </w:pPr>
      <w:r>
        <w:t>Positive: known vendor in Salesforce/Avail, consistent identity across sources, stable domain/contact information, valid business footprint, positive internal history</w:t>
      </w:r>
    </w:p>
    <w:p>
      <w:pPr>
        <w:pStyle w:val="ListBullet"/>
      </w:pPr>
      <w:r>
        <w:t>Negative: conflicting identity/contact details, missing business footprint, suspicious domain or website patterns, public complaint signals, prior internal bad experiences</w:t>
      </w:r>
    </w:p>
    <w:p>
      <w:pPr>
        <w:pStyle w:val="Heading1"/>
      </w:pPr>
      <w:r>
        <w:t>Deduplication Policy</w:t>
      </w:r>
    </w:p>
    <w:p>
      <w:pPr>
        <w:pStyle w:val="ListBullet"/>
      </w:pPr>
      <w:r>
        <w:t>Objective: avoid showing the same vendor multiple times under slightly different identities.</w:t>
      </w:r>
    </w:p>
    <w:p>
      <w:pPr>
        <w:pStyle w:val="ListBullet"/>
      </w:pPr>
      <w:r>
        <w:t>Auto-merge only on strong signals such as canonical vendor ID, same normalized domain, same normalized phone, or same normalized vendor name plus same part.</w:t>
      </w:r>
    </w:p>
    <w:p>
      <w:pPr>
        <w:pStyle w:val="ListBullet"/>
      </w:pPr>
      <w:r>
        <w:t>Flag possible duplicates conservatively instead of forcing merges on weak evidence.</w:t>
      </w:r>
    </w:p>
    <w:p>
      <w:pPr>
        <w:pStyle w:val="ListBullet"/>
      </w:pPr>
      <w:r>
        <w:t>Preserve all source attribution after any merge.</w:t>
      </w:r>
    </w:p>
    <w:p>
      <w:pPr>
        <w:pStyle w:val="Heading1"/>
      </w:pPr>
      <w:r>
        <w:t>Buyer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Status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Lead generated but not yet worked</w:t>
            </w:r>
          </w:p>
        </w:tc>
      </w:tr>
      <w:tr>
        <w:tc>
          <w:tcPr>
            <w:tcW w:type="dxa" w:w="5112"/>
          </w:tcPr>
          <w:p>
            <w:r>
              <w:t>Contacted</w:t>
            </w:r>
          </w:p>
        </w:tc>
        <w:tc>
          <w:tcPr>
            <w:tcW w:type="dxa" w:w="5112"/>
          </w:tcPr>
          <w:p>
            <w:r>
              <w:t>Buyer has made outreach</w:t>
            </w:r>
          </w:p>
        </w:tc>
      </w:tr>
      <w:tr>
        <w:tc>
          <w:tcPr>
            <w:tcW w:type="dxa" w:w="5112"/>
          </w:tcPr>
          <w:p>
            <w:r>
              <w:t>Replied</w:t>
            </w:r>
          </w:p>
        </w:tc>
        <w:tc>
          <w:tcPr>
            <w:tcW w:type="dxa" w:w="5112"/>
          </w:tcPr>
          <w:p>
            <w:r>
              <w:t>Vendor responded but outcome not finalized</w:t>
            </w:r>
          </w:p>
        </w:tc>
      </w:tr>
      <w:tr>
        <w:tc>
          <w:tcPr>
            <w:tcW w:type="dxa" w:w="5112"/>
          </w:tcPr>
          <w:p>
            <w:r>
              <w:t>No Stock</w:t>
            </w:r>
          </w:p>
        </w:tc>
        <w:tc>
          <w:tcPr>
            <w:tcW w:type="dxa" w:w="5112"/>
          </w:tcPr>
          <w:p>
            <w:r>
              <w:t>Buyer confirmed no current stock</w:t>
            </w:r>
          </w:p>
        </w:tc>
      </w:tr>
      <w:tr>
        <w:tc>
          <w:tcPr>
            <w:tcW w:type="dxa" w:w="5112"/>
          </w:tcPr>
          <w:p>
            <w:r>
              <w:t>Has Stock</w:t>
            </w:r>
          </w:p>
        </w:tc>
        <w:tc>
          <w:tcPr>
            <w:tcW w:type="dxa" w:w="5112"/>
          </w:tcPr>
          <w:p>
            <w:r>
              <w:t>Buyer confirmed current stock</w:t>
            </w:r>
          </w:p>
        </w:tc>
      </w:tr>
      <w:tr>
        <w:tc>
          <w:tcPr>
            <w:tcW w:type="dxa" w:w="5112"/>
          </w:tcPr>
          <w:p>
            <w:r>
              <w:t>Bad Lead</w:t>
            </w:r>
          </w:p>
        </w:tc>
        <w:tc>
          <w:tcPr>
            <w:tcW w:type="dxa" w:w="5112"/>
          </w:tcPr>
          <w:p>
            <w:r>
              <w:t>Low-quality, irrelevant, wrong, stale, or unusable</w:t>
            </w:r>
          </w:p>
        </w:tc>
      </w:tr>
      <w:tr>
        <w:tc>
          <w:tcPr>
            <w:tcW w:type="dxa" w:w="5112"/>
          </w:tcPr>
          <w:p>
            <w:r>
              <w:t>Do Not Contact</w:t>
            </w:r>
          </w:p>
        </w:tc>
        <w:tc>
          <w:tcPr>
            <w:tcW w:type="dxa" w:w="5112"/>
          </w:tcPr>
          <w:p>
            <w:r>
              <w:t>Vendor should not be pursued for this lead</w:t>
            </w:r>
          </w:p>
        </w:tc>
      </w:tr>
    </w:tbl>
    <w:p>
      <w:pPr/>
      <w:r>
        <w:t>Core actions: Mark Contacted, Mark Replied, Mark Has Stock, Mark No Stock, Mark Bad Lead, Mark Do Not Contact, Add Note.</w:t>
      </w:r>
    </w:p>
    <w:p>
      <w:pPr>
        <w:pStyle w:val="Heading1"/>
      </w:pPr>
      <w:r>
        <w:t>Vendor Trust &amp; Safety Review</w:t>
      </w:r>
    </w:p>
    <w:p>
      <w:pPr/>
      <w:r>
        <w:t>Safety review is a decision aid, not an accusation engine. Use caution-oriented language and show supporting signals.</w:t>
      </w:r>
    </w:p>
    <w:p>
      <w:pPr>
        <w:pStyle w:val="ListBullet"/>
      </w:pPr>
      <w:r>
        <w:t>Output: vendor_safety_band, vendor_safety_summary, vendor_safety_flags, evidence list, suggested caution action</w:t>
      </w:r>
    </w:p>
    <w:p>
      <w:pPr>
        <w:pStyle w:val="ListBullet"/>
      </w:pPr>
      <w:r>
        <w:t>Recommended language: risk indicators found, identity consistency is weak, manual verification recommended</w:t>
      </w:r>
    </w:p>
    <w:p>
      <w:pPr>
        <w:pStyle w:val="ListBullet"/>
      </w:pPr>
      <w:r>
        <w:t>Avoid definitive accusations or silent suppression based only on weak web/AI signals</w:t>
      </w:r>
    </w:p>
    <w:p>
      <w:r>
        <w:br w:type="page"/>
      </w:r>
    </w:p>
    <w:p>
      <w:pPr>
        <w:pStyle w:val="Heading1"/>
      </w:pPr>
      <w:r>
        <w:t>Screen &amp; Wireframe Spec</w:t>
      </w:r>
    </w:p>
    <w:p>
      <w:pPr>
        <w:pStyle w:val="Heading2"/>
      </w:pPr>
      <w:r>
        <w:t>Sourcing Results View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ing_results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Purpose: </w:t>
      </w:r>
      <w:r>
        <w:t>Buyer work queue for a selected part, with confidence, safety, source badges, freshness, contact preview, suggested action, and quick actions.</w:t>
      </w:r>
    </w:p>
    <w:p>
      <w:pPr>
        <w:pStyle w:val="Heading2"/>
      </w:pPr>
      <w:r>
        <w:t>Lead Detail View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_detail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Purpose: </w:t>
      </w:r>
      <w:r>
        <w:t>Full evidence and decision support with source attribution, contact information, safety review, buyer actions, and activity timeline.</w:t>
      </w:r>
    </w:p>
    <w:p>
      <w:pPr>
        <w:pStyle w:val="Heading2"/>
      </w:pPr>
      <w:r>
        <w:t>Buyer Follow-Up Queue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yer_followup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Purpose: </w:t>
      </w:r>
      <w:r>
        <w:t>Operational queue for buyers to work leads by status.</w:t>
      </w:r>
    </w:p>
    <w:p>
      <w:pPr>
        <w:pStyle w:val="Heading2"/>
      </w:pPr>
      <w:r>
        <w:t>Safety Review Block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fety_review_b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Purpose: </w:t>
      </w:r>
      <w:r>
        <w:t>Show caution signals and recommended manual verification without hiding leads.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Multiple source types can contribute leads and preserve source attribution.</w:t>
      </w:r>
    </w:p>
    <w:p>
      <w:pPr>
        <w:pStyle w:val="ListBullet"/>
      </w:pPr>
      <w:r>
        <w:t>One lead exists per vendor per part, with multiple evidence items underneath.</w:t>
      </w:r>
    </w:p>
    <w:p>
      <w:pPr>
        <w:pStyle w:val="ListBullet"/>
      </w:pPr>
      <w:r>
        <w:t>Confidence and safety are stored and shown separately.</w:t>
      </w:r>
    </w:p>
    <w:p>
      <w:pPr>
        <w:pStyle w:val="ListBullet"/>
      </w:pPr>
      <w:r>
        <w:t>Duplicates are materially reduced.</w:t>
      </w:r>
    </w:p>
    <w:p>
      <w:pPr>
        <w:pStyle w:val="ListBullet"/>
      </w:pPr>
      <w:r>
        <w:t>Buyers can update status in one click plus optional note.</w:t>
      </w:r>
    </w:p>
    <w:p>
      <w:pPr>
        <w:pStyle w:val="ListBullet"/>
      </w:pPr>
      <w:r>
        <w:t>Safety review is visible, explainable, and caution-oriented.</w:t>
      </w:r>
    </w:p>
    <w:p>
      <w:pPr>
        <w:pStyle w:val="Heading1"/>
      </w:pPr>
      <w:r>
        <w:t>Phased Build Plan</w:t>
      </w:r>
    </w:p>
    <w:p>
      <w:pPr/>
      <w:r>
        <w:rPr>
          <w:b/>
        </w:rPr>
        <w:t xml:space="preserve">Phase 1: </w:t>
      </w:r>
      <w:r>
        <w:t>Discovery and current-state mapping</w:t>
      </w:r>
    </w:p>
    <w:p>
      <w:pPr/>
      <w:r>
        <w:rPr>
          <w:b/>
        </w:rPr>
        <w:t xml:space="preserve">Phase 2: </w:t>
      </w:r>
      <w:r>
        <w:t>Lead and evidence schema foundation</w:t>
      </w:r>
    </w:p>
    <w:p>
      <w:pPr/>
      <w:r>
        <w:rPr>
          <w:b/>
        </w:rPr>
        <w:t xml:space="preserve">Phase 3: </w:t>
      </w:r>
      <w:r>
        <w:t>Scoring separation: confidence vs safety</w:t>
      </w:r>
    </w:p>
    <w:p>
      <w:pPr/>
      <w:r>
        <w:rPr>
          <w:b/>
        </w:rPr>
        <w:t xml:space="preserve">Phase 4: </w:t>
      </w:r>
      <w:r>
        <w:t>Deduplication foundation</w:t>
      </w:r>
    </w:p>
    <w:p>
      <w:pPr/>
      <w:r>
        <w:rPr>
          <w:b/>
        </w:rPr>
        <w:t xml:space="preserve">Phase 5: </w:t>
      </w:r>
      <w:r>
        <w:t>Buyer workflow and statuses</w:t>
      </w:r>
    </w:p>
    <w:p>
      <w:pPr/>
      <w:r>
        <w:rPr>
          <w:b/>
        </w:rPr>
        <w:t xml:space="preserve">Phase 6: </w:t>
      </w:r>
      <w:r>
        <w:t>Feedback loop</w:t>
      </w:r>
    </w:p>
    <w:p>
      <w:pPr/>
      <w:r>
        <w:rPr>
          <w:b/>
        </w:rPr>
        <w:t xml:space="preserve">Phase 7: </w:t>
      </w:r>
      <w:r>
        <w:t>Buyer-facing UI</w:t>
      </w:r>
    </w:p>
    <w:p>
      <w:pPr/>
      <w:r>
        <w:rPr>
          <w:b/>
        </w:rPr>
        <w:t xml:space="preserve">Phase 8: </w:t>
      </w:r>
      <w:r>
        <w:t>Connector hardening and enrichment</w:t>
      </w:r>
    </w:p>
    <w:p>
      <w:pPr/>
      <w:r>
        <w:rPr>
          <w:b/>
        </w:rPr>
        <w:t xml:space="preserve">Phase 9: </w:t>
      </w:r>
      <w:r>
        <w:t>QA and cleanup</w:t>
      </w:r>
    </w:p>
    <w:p>
      <w:pPr>
        <w:pStyle w:val="Heading1"/>
      </w:pPr>
      <w:r>
        <w:t>Cursor Handoff Guidance</w:t>
      </w:r>
    </w:p>
    <w:p>
      <w:pPr>
        <w:pStyle w:val="ListBullet"/>
      </w:pPr>
      <w:r>
        <w:t>Use the Markdown files for direct model context.</w:t>
      </w:r>
    </w:p>
    <w:p>
      <w:pPr>
        <w:pStyle w:val="ListBullet"/>
      </w:pPr>
      <w:r>
        <w:t>Use the JSON/YAML schema files as implementation targets.</w:t>
      </w:r>
    </w:p>
    <w:p>
      <w:pPr>
        <w:pStyle w:val="ListBullet"/>
      </w:pPr>
      <w:r>
        <w:t>Use the wireframes as the visual north star.</w:t>
      </w:r>
    </w:p>
    <w:p>
      <w:pPr>
        <w:pStyle w:val="ListBullet"/>
      </w:pPr>
      <w:r>
        <w:t>Keep the agent constrained to one slice at a time and require tests/checks after each slice.</w:t>
      </w:r>
    </w:p>
    <w:p>
      <w:pPr>
        <w:pStyle w:val="ListBullet"/>
      </w:pPr>
      <w:r>
        <w:t>Preserve the decision log and update it as new implementation decisions are made.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4C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B5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