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 in relation to flight booking number AI202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 have hereunto set my hand this on 2025-06-10,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