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4B06C">
      <w:pPr>
        <w:ind w:firstLine="2209" w:firstLineChars="50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分而治之-</w:t>
      </w:r>
      <w:r>
        <w:rPr>
          <w:rFonts w:hint="eastAsia"/>
          <w:b/>
          <w:bCs/>
          <w:sz w:val="28"/>
          <w:szCs w:val="28"/>
          <w:lang w:val="en-US" w:eastAsia="zh-CN"/>
        </w:rPr>
        <w:t>阅读笔记</w:t>
      </w:r>
    </w:p>
    <w:p w14:paraId="79C4AC90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D2D2D"/>
          <w:spacing w:val="0"/>
          <w:sz w:val="14"/>
          <w:szCs w:val="14"/>
          <w:u w:val="none"/>
          <w:shd w:val="clear" w:fill="FFFFFF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原文：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2D2D2D"/>
          <w:spacing w:val="0"/>
          <w:sz w:val="14"/>
          <w:szCs w:val="14"/>
          <w:u w:val="none"/>
          <w:shd w:val="clear" w:fill="FFFFFF"/>
        </w:rPr>
        <w:fldChar w:fldCharType="begin"/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2D2D2D"/>
          <w:spacing w:val="0"/>
          <w:sz w:val="14"/>
          <w:szCs w:val="14"/>
          <w:u w:val="none"/>
          <w:shd w:val="clear" w:fill="FFFFFF"/>
        </w:rPr>
        <w:instrText xml:space="preserve"> HYPERLINK "https://arxiv.org/abs/2606.01885" </w:instrTex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2D2D2D"/>
          <w:spacing w:val="0"/>
          <w:sz w:val="14"/>
          <w:szCs w:val="14"/>
          <w:u w:val="none"/>
          <w:shd w:val="clear" w:fill="FFFFFF"/>
        </w:rPr>
        <w:fldChar w:fldCharType="separate"/>
      </w:r>
      <w:r>
        <w:rPr>
          <w:rStyle w:val="4"/>
          <w:rFonts w:hint="default" w:ascii="Helvetica" w:hAnsi="Helvetica" w:eastAsia="Helvetica" w:cs="Helvetica"/>
          <w:b/>
          <w:bCs/>
          <w:i w:val="0"/>
          <w:iCs w:val="0"/>
          <w:caps w:val="0"/>
          <w:color w:val="2D2D2D"/>
          <w:spacing w:val="0"/>
          <w:sz w:val="14"/>
          <w:szCs w:val="14"/>
          <w:u w:val="none"/>
          <w:shd w:val="clear" w:fill="FFFFFF"/>
        </w:rPr>
        <w:t>arXiv:2606.01885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D2D2D"/>
          <w:spacing w:val="0"/>
          <w:sz w:val="14"/>
          <w:szCs w:val="14"/>
          <w:u w:val="none"/>
          <w:shd w:val="clear" w:fill="FFFFFF"/>
        </w:rPr>
        <w:fldChar w:fldCharType="end"/>
      </w:r>
    </w:p>
    <w:p w14:paraId="01A9ABEB">
      <w:pP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87916"/>
          <w:spacing w:val="0"/>
          <w:sz w:val="17"/>
          <w:szCs w:val="17"/>
          <w:shd w:val="clear" w:fill="EEFFE8"/>
        </w:rPr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2D2D2D"/>
          <w:spacing w:val="0"/>
          <w:sz w:val="17"/>
          <w:szCs w:val="17"/>
          <w:shd w:val="clear" w:fill="FFFFFF"/>
        </w:rPr>
        <w:t>Divide and Conquer: Reliable Multi-View Evidential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D2D2D"/>
          <w:spacing w:val="0"/>
          <w:sz w:val="17"/>
          <w:szCs w:val="17"/>
          <w:shd w:val="clear" w:fill="FFFFFF"/>
          <w:lang w:val="en-US" w:eastAsia="zh-CN"/>
        </w:rPr>
        <w:t xml:space="preserve"> 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2D2D2D"/>
          <w:spacing w:val="0"/>
          <w:sz w:val="17"/>
          <w:szCs w:val="17"/>
          <w:shd w:val="clear" w:fill="FFFFFF"/>
        </w:rPr>
        <w:t>Learning for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 w:themeColor="text1"/>
          <w:spacing w:val="0"/>
          <w:sz w:val="17"/>
          <w:szCs w:val="17"/>
          <w:shd w:val="clear" w:fill="FFFFFF"/>
          <w14:textFill>
            <w14:solidFill>
              <w14:schemeClr w14:val="tx1"/>
            </w14:solidFill>
          </w14:textFill>
        </w:rPr>
        <w:t> 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 w:themeColor="text1"/>
          <w:spacing w:val="0"/>
          <w:sz w:val="17"/>
          <w:szCs w:val="17"/>
          <w:shd w:val="clear" w:fill="EEFFE8"/>
          <w14:textFill>
            <w14:solidFill>
              <w14:schemeClr w14:val="tx1"/>
            </w14:solidFill>
          </w14:textFill>
        </w:rPr>
        <w:t>Deepfake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 w:themeColor="text1"/>
          <w:spacing w:val="0"/>
          <w:sz w:val="17"/>
          <w:szCs w:val="17"/>
          <w:shd w:val="clear" w:fill="FFFFFF"/>
          <w14:textFill>
            <w14:solidFill>
              <w14:schemeClr w14:val="tx1"/>
            </w14:solidFill>
          </w14:textFill>
        </w:rPr>
        <w:t> 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 w:themeColor="text1"/>
          <w:spacing w:val="0"/>
          <w:sz w:val="17"/>
          <w:szCs w:val="17"/>
          <w:shd w:val="clear" w:fill="EEFFE8"/>
          <w14:textFill>
            <w14:solidFill>
              <w14:schemeClr w14:val="tx1"/>
            </w14:solidFill>
          </w14:textFill>
        </w:rPr>
        <w:t>Detection</w:t>
      </w:r>
    </w:p>
    <w:p w14:paraId="09EE7CBA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D2D2D"/>
          <w:spacing w:val="0"/>
          <w:sz w:val="17"/>
          <w:szCs w:val="17"/>
          <w:shd w:val="clear" w:fill="FFFFFF"/>
          <w:lang w:val="en-US" w:eastAsia="zh-CN"/>
        </w:rPr>
      </w:pPr>
    </w:p>
    <w:p w14:paraId="72E01C61">
      <w:pPr>
        <w:numPr>
          <w:ilvl w:val="0"/>
          <w:numId w:val="1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本文背景：</w:t>
      </w:r>
    </w:p>
    <w:p w14:paraId="31F983D9">
      <w:pPr>
        <w:numPr>
          <w:numId w:val="0"/>
        </w:numP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当前检测器面对根本问题：泛化能力瓶颈</w:t>
      </w:r>
    </w:p>
    <w:p w14:paraId="711B9016">
      <w:pPr>
        <w:numPr>
          <w:numId w:val="0"/>
        </w:numPr>
        <w:ind w:firstLine="420" w:firstLineChars="20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具体而言，泛化能力瓶颈源于“语义遮蔽”效应。当下主流检测器是单一骨干网络，而这些网络倾向于学习“语义一致性”，即语义本质，不管输入形式如何变换，检测器都能学习到语义的最本质的特征，所以骨干网络，即特征提取网络，更倾向于学习高幅度的语义特征，也就是更加清楚，更加突出的表征，这是因为检测器在训练过程中，当学习的特征幅度，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也就是图片质量或是清晰度越高，那么训练损失下降越快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（这个我也不知道为啥？）；同时骨干网络学习的特征是伪影与主要语义表征纠缠的表征，所以主导的语义表征会淹没伪影线索。</w:t>
      </w:r>
    </w:p>
    <w:p w14:paraId="0EEA012F">
      <w:pPr>
        <w:numPr>
          <w:numId w:val="0"/>
        </w:numPr>
        <w:ind w:firstLine="420" w:firstLineChars="20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这种语义的遮蔽导致网络学习到不可靠的决策边界，导致对于决策产生无根据的过度自信。</w:t>
      </w:r>
    </w:p>
    <w:p w14:paraId="13BEABFD">
      <w:pPr>
        <w:numPr>
          <w:numId w:val="0"/>
        </w:numP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31242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0CBB99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87916"/>
          <w:spacing w:val="0"/>
          <w:sz w:val="21"/>
          <w:szCs w:val="21"/>
          <w:highlight w:val="none"/>
          <w:shd w:val="clear" w:fill="EEFFE8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87916"/>
          <w:spacing w:val="0"/>
          <w:sz w:val="21"/>
          <w:szCs w:val="21"/>
          <w:highlight w:val="none"/>
          <w:shd w:val="clear" w:fill="EEFFE8"/>
          <w:lang w:val="en-US" w:eastAsia="zh-CN"/>
        </w:rPr>
        <w:t>该图(a)指出决策边界无法清晰的分开虚假，真实和未见过的特征线索；</w:t>
      </w:r>
    </w:p>
    <w:p w14:paraId="33BFD4F3">
      <w:pP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87916"/>
          <w:spacing w:val="0"/>
          <w:sz w:val="21"/>
          <w:szCs w:val="21"/>
          <w:highlight w:val="none"/>
          <w:shd w:val="clear" w:fill="EEFFE8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87916"/>
          <w:spacing w:val="0"/>
          <w:sz w:val="21"/>
          <w:szCs w:val="21"/>
          <w:highlight w:val="none"/>
          <w:shd w:val="clear" w:fill="EEFFE8"/>
          <w:lang w:val="en-US" w:eastAsia="zh-CN"/>
        </w:rPr>
        <w:t>图(b)，也就是本文提出的框架下，三个特征区分明显。</w:t>
      </w:r>
    </w:p>
    <w:p w14:paraId="742F3F0C">
      <w:pPr>
        <w:numPr>
          <w:ilvl w:val="0"/>
          <w:numId w:val="1"/>
        </w:numPr>
        <w:ind w:left="0" w:leftChars="0" w:firstLine="0" w:firstLineChars="0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解决思路</w:t>
      </w:r>
    </w:p>
    <w:p w14:paraId="658A6658">
      <w:pPr>
        <w:numPr>
          <w:numId w:val="0"/>
        </w:numPr>
        <w:ind w:leftChars="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伪影表征视为语义表征的正交补空间，即伪影与语义特征正交，没有任何相似性。然后构建多视角之间去相关性和互补性。再基于这种解耦，利用登普斯特-沙夫理论（其实只是利用该理论的融合操作）构建“认知冲突”，以及不确定性。</w:t>
      </w:r>
    </w:p>
    <w:p w14:paraId="438F3ED9">
      <w:pPr>
        <w:numPr>
          <w:numId w:val="0"/>
        </w:numPr>
        <w:ind w:leftChars="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1538605"/>
            <wp:effectExtent l="0" t="0" r="0" b="1079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38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53937F">
      <w:pPr>
        <w:numPr>
          <w:ilvl w:val="0"/>
          <w:numId w:val="1"/>
        </w:numPr>
        <w:ind w:left="0" w:leftChars="0" w:firstLine="0" w:firstLineChars="0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具体实现操作：</w:t>
      </w:r>
    </w:p>
    <w:p w14:paraId="7DCE5EF5">
      <w:pPr>
        <w:numPr>
          <w:numId w:val="0"/>
        </w:numPr>
        <w:ind w:leftChars="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3.1分治</w:t>
      </w:r>
    </w:p>
    <w:p w14:paraId="1E008185">
      <w:pPr>
        <w:numPr>
          <w:numId w:val="0"/>
        </w:numPr>
        <w:ind w:leftChars="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即提取正交的伪影空间与语义</w:t>
      </w:r>
      <w:bookmarkStart w:id="0" w:name="_GoBack"/>
      <w:bookmarkEnd w:id="0"/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空间。</w:t>
      </w:r>
    </w:p>
    <w:p w14:paraId="698B4A24">
      <w:pPr>
        <w:numPr>
          <w:numId w:val="0"/>
        </w:numPr>
        <w:ind w:leftChars="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首先利用低秩适配的视觉特征模型CLIP（LoRA）提取语义特征：</w:t>
      </w:r>
    </w:p>
    <w:p w14:paraId="5BDC9645">
      <w:pPr>
        <w:widowControl w:val="0"/>
        <w:numPr>
          <w:numId w:val="0"/>
        </w:numPr>
        <w:jc w:val="both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strike w:val="0"/>
          <w:color w:val="auto"/>
          <w:spacing w:val="0"/>
          <w:sz w:val="24"/>
          <w:szCs w:val="21"/>
          <w:u w:val="none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</w:t>
      </w:r>
      <w:r>
        <w:drawing>
          <wp:inline distT="0" distB="0" distL="114300" distR="114300">
            <wp:extent cx="1676400" cy="292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DAEC5">
      <w:pPr>
        <w:numPr>
          <w:numId w:val="0"/>
        </w:numPr>
        <w:ind w:leftChars="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fs是语义特征，然后提取伪影特征，这里采用的办法是先找出最重要的或者是最本质的语义特征，通过低维流形投影到低维流形曲面上生成低维语义特征：fc</w:t>
      </w:r>
    </w:p>
    <w:p w14:paraId="1AF4E353">
      <w:pPr>
        <w:numPr>
          <w:numId w:val="0"/>
        </w:numPr>
        <w:ind w:leftChars="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接着，计算残差以捕捉偏差：</w:t>
      </w:r>
    </w:p>
    <w:p w14:paraId="4A61A502">
      <w:pPr>
        <w:numPr>
          <w:numId w:val="0"/>
        </w:numPr>
        <w:ind w:leftChars="0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 xml:space="preserve">                               </w:t>
      </w:r>
      <w:r>
        <w:drawing>
          <wp:inline distT="0" distB="0" distL="114300" distR="114300">
            <wp:extent cx="914400" cy="2730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BF78E">
      <w:pPr>
        <w:numPr>
          <w:numId w:val="0"/>
        </w:numPr>
        <w:ind w:leftChars="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但是该残差里仍有被渗透的语义特征，所以提取纯净的伪影特征，这是因为流星投影器重建能力有限。所以fr和fs呈现零正交化，本文把fr分解为平行分量与正交分量，平行分量为泄露分量：</w:t>
      </w:r>
    </w:p>
    <w:p w14:paraId="4C95716E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</w:t>
      </w:r>
      <w:r>
        <w:drawing>
          <wp:inline distT="0" distB="0" distL="114300" distR="114300">
            <wp:extent cx="1847850" cy="4572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8D9E1">
      <w:pPr>
        <w:numPr>
          <w:numId w:val="0"/>
        </w:numPr>
        <w:ind w:leftChars="0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所以净化后的伪影特征就是fa</w:t>
      </w:r>
    </w:p>
    <w:p w14:paraId="10E9C834">
      <w:pPr>
        <w:numPr>
          <w:numId w:val="0"/>
        </w:numPr>
        <w:ind w:leftChars="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</w:t>
      </w:r>
      <w:r>
        <w:drawing>
          <wp:inline distT="0" distB="0" distL="114300" distR="114300">
            <wp:extent cx="2006600" cy="2667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7294C">
      <w:pPr>
        <w:numPr>
          <w:numId w:val="0"/>
        </w:numPr>
        <w:ind w:leftChars="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3.2征服</w:t>
      </w:r>
    </w:p>
    <w:p w14:paraId="7C38D29E">
      <w:pPr>
        <w:numPr>
          <w:numId w:val="0"/>
        </w:numPr>
        <w:ind w:leftChars="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首先之前的“分治”部分，把视图重构为两个视图：伪影视图与语义试图。这两个视图索引为v={1,2},v=1是fv语义视图，v=2是fv伪影视图.</w:t>
      </w:r>
    </w:p>
    <w:p w14:paraId="3CC9E318">
      <w:pPr>
        <w:numPr>
          <w:numId w:val="0"/>
        </w:numPr>
        <w:ind w:leftChars="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通过证据头，也就是多头轻量感知机把视图映射为证据：</w:t>
      </w:r>
    </w:p>
    <w:p w14:paraId="68C495EE">
      <w:pPr>
        <w:numPr>
          <w:numId w:val="0"/>
        </w:numPr>
        <w:ind w:leftChars="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</w:t>
      </w:r>
      <w:r>
        <w:drawing>
          <wp:inline distT="0" distB="0" distL="114300" distR="114300">
            <wp:extent cx="1778000" cy="23495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49258">
      <w:pPr>
        <w:numPr>
          <w:numId w:val="0"/>
        </w:numPr>
        <w:ind w:leftChars="0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证据向量ev∈Rk，k是分类，k=2，真假两类。</w:t>
      </w:r>
    </w:p>
    <w:p w14:paraId="36CFE770">
      <w:pPr>
        <w:numPr>
          <w:numId w:val="0"/>
        </w:numPr>
        <w:ind w:leftChars="0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基于此，狄利克雷分布参数向量为av=ev+1，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 </w:t>
      </w:r>
      <w:r>
        <w:rPr>
          <w:rFonts w:hint="default" w:ascii="Times New Roman" w:hAnsi="Times New Roman" w:eastAsia="宋体" w:cs="Times New Roman"/>
          <w:sz w:val="24"/>
          <w:szCs w:val="24"/>
        </w:rPr>
        <w:t>Sv=∑kαkv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 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是狄利克雷参数</w:t>
      </w:r>
    </w:p>
    <w:p w14:paraId="187D2131">
      <w:pPr>
        <w:numPr>
          <w:numId w:val="0"/>
        </w:numPr>
        <w:ind w:leftChars="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再推导出主观意见Tv{bv,uv},bv信念质量，uv不确定质量：</w:t>
      </w:r>
    </w:p>
    <w:p w14:paraId="0C1BF28C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                              </w:t>
      </w:r>
      <w:r>
        <w:drawing>
          <wp:inline distT="0" distB="0" distL="114300" distR="114300">
            <wp:extent cx="1397000" cy="4445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EF781">
      <w:pPr>
        <w:numPr>
          <w:numId w:val="0"/>
        </w:numPr>
        <w:ind w:leftChars="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生成两个专家：1）T1内容专家；2）T2结构专家</w:t>
      </w:r>
    </w:p>
    <w:p w14:paraId="48EAE27C">
      <w:pPr>
        <w:numPr>
          <w:numId w:val="0"/>
        </w:numPr>
        <w:ind w:leftChars="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  <w:r>
        <w:drawing>
          <wp:inline distT="0" distB="0" distL="114300" distR="114300">
            <wp:extent cx="3625850" cy="349250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B21DD">
      <w:pPr>
        <w:numPr>
          <w:numId w:val="0"/>
        </w:numPr>
        <w:ind w:leftChars="0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其中</w:t>
      </w:r>
      <w:r>
        <w:drawing>
          <wp:inline distT="0" distB="0" distL="114300" distR="114300">
            <wp:extent cx="996950" cy="234950"/>
            <wp:effectExtent l="0" t="0" r="635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sz w:val="21"/>
          <w:szCs w:val="21"/>
          <w:shd w:val="clear" w:fill="FFFFFF"/>
          <w:lang w:val="en-US" w:eastAsia="zh-CN"/>
        </w:rPr>
        <w:t>(意思是E是语义视角和伪影视角不同维度乘积累加和，</w:t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  <w:t>用于量化语义视图与伪影视图之间的不一致程度。而</w:t>
      </w:r>
      <w:r>
        <w:drawing>
          <wp:inline distT="0" distB="0" distL="114300" distR="114300">
            <wp:extent cx="590550" cy="196850"/>
            <wp:effectExtent l="0" t="0" r="635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  <w:t>是归一化因子。</w:t>
      </w:r>
    </w:p>
    <w:p w14:paraId="2297AEEE">
      <w:pPr>
        <w:numPr>
          <w:numId w:val="0"/>
        </w:numPr>
        <w:ind w:leftChars="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7F9BA346">
      <w:pPr>
        <w:numPr>
          <w:ilvl w:val="0"/>
          <w:numId w:val="1"/>
        </w:numPr>
        <w:ind w:left="0" w:leftChars="0" w:firstLine="0" w:firstLineChars="0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  <w:t>该机制实现原理</w:t>
      </w:r>
    </w:p>
    <w:p w14:paraId="28FE3A82">
      <w:pPr>
        <w:numPr>
          <w:ilvl w:val="0"/>
          <w:numId w:val="2"/>
        </w:numPr>
        <w:ind w:leftChars="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  <w:t>两个专家高置信度达成一致时bk1.bk2占主导地位，同时u1.u2快速递减，从而强化置信度。</w:t>
      </w:r>
    </w:p>
    <w:p w14:paraId="1FEF01B0">
      <w:pPr>
        <w:numPr>
          <w:ilvl w:val="0"/>
          <w:numId w:val="2"/>
        </w:numPr>
        <w:ind w:leftChars="0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  <w:t>知识互补：当一个视角置信度高（bk1高，u1低），而另一个视角不确定u2低，此时，中间项bk1.u2允许弥补另一个视角缺失，这样的机制防止单视角的失效导致的失灵。</w:t>
      </w:r>
    </w:p>
    <w:p w14:paraId="0BD1A224">
      <w:pPr>
        <w:numPr>
          <w:ilvl w:val="0"/>
          <w:numId w:val="2"/>
        </w:numPr>
        <w:ind w:leftChars="0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  <w:t>冲突感知：视角间存在矛盾时，E系数上升，归一化因子抑制信念质量并且提升认知不确定性。</w:t>
      </w:r>
    </w:p>
    <w:p w14:paraId="6F124ED0">
      <w:pPr>
        <w:numPr>
          <w:ilvl w:val="0"/>
          <w:numId w:val="1"/>
        </w:numPr>
        <w:ind w:left="0" w:leftChars="0" w:firstLine="0" w:firstLineChars="0"/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  <w:t>损失函数</w:t>
      </w:r>
    </w:p>
    <w:p w14:paraId="794C6A74">
      <w:pPr>
        <w:numPr>
          <w:numId w:val="0"/>
        </w:numPr>
        <w:ind w:leftChars="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  <w:t>5.1首先是语义流形损失，因为流形投影利用𝛽Beta-VAE 投影器，所以这一部分的损失定义为：</w:t>
      </w:r>
    </w:p>
    <w:p w14:paraId="2A2F18FE">
      <w:pPr>
        <w:numPr>
          <w:numId w:val="0"/>
        </w:numPr>
        <w:ind w:leftChars="0" w:firstLine="2940" w:firstLineChars="1400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drawing>
          <wp:inline distT="0" distB="0" distL="114300" distR="114300">
            <wp:extent cx="1492250" cy="254000"/>
            <wp:effectExtent l="0" t="0" r="635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AB0FD">
      <w:pPr>
        <w:numPr>
          <w:numId w:val="0"/>
        </w:numP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  <w:t>Lalin:初始语义fs与投影向量fc余弦相似度：</w:t>
      </w:r>
    </w:p>
    <w:p w14:paraId="7EE4A84E">
      <w:pPr>
        <w:numPr>
          <w:numId w:val="0"/>
        </w:numP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   </w:t>
      </w:r>
      <w:r>
        <w:rPr>
          <w:rFonts w:hint="eastAsia"/>
          <w:lang w:val="en-US" w:eastAsia="zh-CN"/>
        </w:rPr>
        <w:t xml:space="preserve">                     </w:t>
      </w:r>
      <w:r>
        <w:drawing>
          <wp:inline distT="0" distB="0" distL="114300" distR="114300">
            <wp:extent cx="2673350" cy="425450"/>
            <wp:effectExtent l="0" t="0" r="635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FE961">
      <w:pPr>
        <w:numPr>
          <w:numId w:val="0"/>
        </w:numP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  <w:t>Lkld:最小化标准正态分布与投影的后验分布KL散度，也就是让该后验分布更接近于标准正态分布：</w:t>
      </w:r>
    </w:p>
    <w:p w14:paraId="4CBA6331">
      <w:pPr>
        <w:numPr>
          <w:numId w:val="0"/>
        </w:numP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/>
          <w:lang w:val="en-US" w:eastAsia="zh-CN"/>
        </w:rPr>
        <w:t xml:space="preserve">                          </w:t>
      </w:r>
      <w:r>
        <w:drawing>
          <wp:inline distT="0" distB="0" distL="114300" distR="114300">
            <wp:extent cx="2381250" cy="730250"/>
            <wp:effectExtent l="0" t="0" r="635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9CE92">
      <w:pPr>
        <w:widowControl w:val="0"/>
        <w:numPr>
          <w:numId w:val="0"/>
        </w:numPr>
        <w:jc w:val="both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  <w:t>μ</w: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  <w:t> 和 </w:t>
      </w:r>
      <w:r>
        <w:rPr>
          <w:rFonts w:hint="eastAsia" w:ascii="Helvetica" w:hAnsi="Helvetica" w:eastAsia="宋体" w:cs="Helvetica"/>
          <w:b/>
          <w:bCs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  <w:t>σ^2</w:t>
      </w:r>
      <w:r>
        <w:rPr>
          <w:rFonts w:hint="default" w:ascii="Helvetica" w:hAnsi="Helvetica" w:eastAsia="宋体" w:cs="Helvetica"/>
          <w:b/>
          <w:bCs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  <w:t> </w:t>
      </w:r>
      <w:r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  <w:t>分别表示编码器预测输出的均值与方差</w:t>
      </w:r>
    </w:p>
    <w:p w14:paraId="7CA16A40">
      <w:pPr>
        <w:widowControl w:val="0"/>
        <w:numPr>
          <w:numId w:val="0"/>
        </w:numPr>
        <w:jc w:val="both"/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  <w:t>5.2不确定性感知证据流失。</w:t>
      </w:r>
    </w:p>
    <w:p w14:paraId="69D5F37C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                 </w:t>
      </w:r>
      <w:r>
        <w:drawing>
          <wp:inline distT="0" distB="0" distL="114300" distR="114300">
            <wp:extent cx="2844800" cy="8255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DD57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</w:rPr>
        <w:t>促使网络为真实类别积累证据</w:t>
      </w:r>
      <w:r>
        <w:rPr>
          <w:rFonts w:hint="eastAsia"/>
          <w:lang w:val="en-US" w:eastAsia="zh-CN"/>
        </w:rPr>
        <w:t>:</w:t>
      </w:r>
    </w:p>
    <w:p w14:paraId="400FBBA3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               </w:t>
      </w:r>
      <w:r>
        <w:drawing>
          <wp:inline distT="0" distB="0" distL="114300" distR="114300">
            <wp:extent cx="3543300" cy="4953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16253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该积分可利用 Digamma 函数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 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ψ​(⋅)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 简化为易于处理的形式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:</w:t>
      </w:r>
    </w:p>
    <w:p w14:paraId="188CC527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                          </w:t>
      </w:r>
      <w:r>
        <w:drawing>
          <wp:inline distT="0" distB="0" distL="114300" distR="114300">
            <wp:extent cx="2324100" cy="4953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85E5B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引入了一个 KL 散度正则化项，用于惩罚非目标类别偏离均匀先验分布:</w:t>
      </w:r>
    </w:p>
    <w:p w14:paraId="7043C9D0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                   </w:t>
      </w:r>
      <w:r>
        <w:drawing>
          <wp:inline distT="0" distB="0" distL="114300" distR="114300">
            <wp:extent cx="3206750" cy="1549400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F8E5D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1511300" cy="1778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是掩码参数向量，确保真实类别的证据不受惩罚。</w:t>
      </w:r>
    </w:p>
    <w:p w14:paraId="76422BB4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最终证据损失定义为：</w:t>
      </w:r>
    </w:p>
    <w:p w14:paraId="7D03ECE7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                 </w:t>
      </w:r>
      <w:r>
        <w:drawing>
          <wp:inline distT="0" distB="0" distL="114300" distR="114300">
            <wp:extent cx="3378200" cy="463550"/>
            <wp:effectExtent l="0" t="0" r="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FBA1C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1657350" cy="215900"/>
            <wp:effectExtent l="0" t="0" r="635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是一个退火系数，用于在训练轮次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 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 中逐步增加正则化权重。</w:t>
      </w:r>
    </w:p>
    <w:p w14:paraId="77095E03">
      <w:pPr>
        <w:keepNext w:val="0"/>
        <w:keepLines w:val="0"/>
        <w:widowControl/>
        <w:suppressLineNumbers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总目标函数：</w:t>
      </w:r>
    </w:p>
    <w:p w14:paraId="2BA3C615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 xml:space="preserve">                                </w:t>
      </w:r>
      <w:r>
        <w:drawing>
          <wp:inline distT="0" distB="0" distL="114300" distR="114300">
            <wp:extent cx="1568450" cy="266700"/>
            <wp:effectExtent l="0" t="0" r="635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DE158">
      <w:pPr>
        <w:widowControl w:val="0"/>
        <w:numPr>
          <w:numId w:val="0"/>
        </w:numPr>
        <w:jc w:val="both"/>
        <w:rPr>
          <w:rFonts w:hint="default" w:ascii="Helvetica" w:hAnsi="Helvetica" w:eastAsia="宋体" w:cs="Helvetica"/>
          <w:b w:val="0"/>
          <w:bCs w:val="0"/>
          <w:i w:val="0"/>
          <w:iCs w:val="0"/>
          <w:caps w:val="0"/>
          <w:color w:val="2D2D2D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416181"/>
    <w:multiLevelType w:val="singleLevel"/>
    <w:tmpl w:val="2041618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F429BE9"/>
    <w:multiLevelType w:val="singleLevel"/>
    <w:tmpl w:val="2F429BE9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D453E6"/>
    <w:rsid w:val="1DD4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2840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2026-06-11T09:02:00Z</dcterms:created>
  <dc:creator>唐睿谦</dc:creator>
  <cp:lastModifiedBy>唐睿谦</cp:lastModifiedBy>
  <dcterms:modified xsi:type="dcterms:W3CDTF">2026-06-13T08:22:58Z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AEA266F424CA4FEF86642E69D604776A_11</vt:lpwstr>
  </property>
  <property fmtid="{D5CDD505-2E9C-101B-9397-08002B2CF9AE}" pid="4" name="KSOTemplateDocerSaveRecord">
    <vt:lpwstr>eyJoZGlkIjoiMDk1ZGI2YmFjZWI1MzM2YzgwYWY4OTExMTBlN2MwNjMiLCJ1c2VySWQiOiIxNjI4MDkwNDE0In0=</vt:lpwstr>
  </property>
</Properties>
</file>