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Cable Schedule</w:t>
      </w:r>
    </w:p>
    <w:p>
      <w:pPr>
        <w:spacing w:after="280"/>
      </w:pPr>
      <w:r>
        <w:rPr>
          <w:b/>
          <w:color w:val="1F4E79"/>
          <w:sz w:val="22"/>
        </w:rPr>
        <w:t>BALANCED 12 PIECE LAB</w:t>
      </w:r>
    </w:p>
    <w:p>
      <w:pPr>
        <w:spacing w:after="140" w:line="252" w:lineRule="auto"/>
      </w:pPr>
      <w:r>
        <w:rPr>
          <w:rFonts w:ascii="Aptos" w:hAnsi="Aptos"/>
          <w:sz w:val="20"/>
        </w:rPr>
        <w:t>Use this schedule to build each physical run in order. The From and To labels are editable training values; cable type identifies the expected connection class.</w:t>
      </w:r>
    </w:p>
    <w:p>
      <w:pPr>
        <w:pStyle w:val="Heading1"/>
      </w:pPr>
      <w:r>
        <w:t>Cable Run Schedule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Crossover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IT1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IT2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5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 Mount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 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 Mount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1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1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Structural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Reception 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2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Structural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3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 cord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4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 cord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Data1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1 Mount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Data2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2 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Data3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NIC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2 Mount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Straight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1 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1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Structural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2 Mount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1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Structural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Office 2 Mount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Punch 3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Structural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1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 cord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3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 cord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3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AN-2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Port 4</w:t>
            </w:r>
          </w:p>
        </w:tc>
        <w:tc>
          <w:tcPr>
            <w:tcW w:type="dxa" w:w="158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 cord</w:t>
            </w:r>
          </w:p>
        </w:tc>
      </w:tr>
    </w:tbl>
    <w:p/>
    <w:p>
      <w:pPr>
        <w:pStyle w:val="Heading1"/>
      </w:pPr>
      <w:r>
        <w:t>Structured Cabling Notes</w:t>
      </w:r>
    </w:p>
    <w:p>
      <w:pPr>
        <w:spacing w:after="140" w:line="252" w:lineRule="auto"/>
      </w:pPr>
      <w:r>
        <w:rPr>
          <w:rFonts w:ascii="Aptos" w:hAnsi="Aptos"/>
          <w:sz w:val="20"/>
        </w:rPr>
        <w:t>Permanent punch-downs run through the wall or ceiling and terminate at the rear of the patch panel. Patch cords are field-replaceable front-panel connections. Complete both sides of every structural run before testing the path.</w:t>
      </w:r>
    </w:p>
    <w:p>
      <w:pPr>
        <w:spacing w:after="140" w:line="252" w:lineRule="auto"/>
      </w:pPr>
      <w:r>
        <w:rPr>
          <w:rFonts w:ascii="Aptos" w:hAnsi="Aptos"/>
          <w:sz w:val="20"/>
        </w:rPr>
        <w:t>For the current lab layout, the structured paths are: Reception1/2 to the Reception Mount, Reception Mount to Patch1, Patch1 to AN-1; and Data1/2/3 to the office mounts, office mounts to Patch2, Patch2 to AN-2.</w:t>
      </w:r>
    </w:p>
    <w:p>
      <w:pPr>
        <w:pStyle w:val="Heading1"/>
      </w:pPr>
      <w:r>
        <w:t>Runtime Scenario Binding</w:t>
      </w:r>
    </w:p>
    <w:p>
      <w:pPr>
        <w:spacing w:after="140" w:line="252" w:lineRule="auto"/>
      </w:pPr>
      <w:r>
        <w:rPr>
          <w:rFonts w:ascii="Aptos" w:hAnsi="Aptos"/>
          <w:sz w:val="20"/>
        </w:rPr>
        <w:t>The schedule above is the editable presentation layer. When the binder is generated from a scenario, these values are the existing runtime sources to prefer: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6"/>
        <w:gridCol w:w="3456"/>
        <w:gridCol w:w="3456"/>
      </w:tblGrid>
      <w:tr>
        <w:tc>
          <w:tcPr>
            <w:tcW w:type="dxa" w:w="180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 source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Drives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permanentConnections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Patch-panel to wall-port and demarc infrastructure runs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TssScenarioDefinition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cableTypeRequirements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Required cable type for graded endpoint pairs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TssScenarioDefinition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networkScenario.requiredPorts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Device role, interface, and endpoint assignment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TssScenarioDefinition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equipment endpoint metadata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Display names and port labels for placed devices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Equipment and endpoint definitions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Cable Schedule | BALANCED 12 PIECE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